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center"/>
        <w:rPr>
          <w:rFonts w:ascii="Arial" w:hAnsi="Arial" w:cs="Arial" w:eastAsia="Arial"/>
          <w:color w:val="auto"/>
          <w:spacing w:val="0"/>
          <w:position w:val="0"/>
          <w:sz w:val="16"/>
          <w:shd w:fill="auto" w:val="clear"/>
        </w:rPr>
      </w:pPr>
      <w:r>
        <w:object w:dxaOrig="2131" w:dyaOrig="1670">
          <v:rect xmlns:o="urn:schemas-microsoft-com:office:office" xmlns:v="urn:schemas-microsoft-com:vml" id="rectole0000000000" style="width:106.550000pt;height:83.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Arial" w:hAnsi="Arial" w:cs="Arial" w:eastAsia="Arial"/>
          <w:color w:val="auto"/>
          <w:spacing w:val="0"/>
          <w:position w:val="0"/>
          <w:sz w:val="16"/>
          <w:shd w:fill="auto" w:val="clear"/>
        </w:rPr>
      </w:pPr>
    </w:p>
    <w:tbl>
      <w:tblPr/>
      <w:tblGrid>
        <w:gridCol w:w="3794"/>
        <w:gridCol w:w="6061"/>
      </w:tblGrid>
      <w:tr>
        <w:trPr>
          <w:trHeight w:val="1" w:hRule="atLeast"/>
          <w:jc w:val="left"/>
        </w:trPr>
        <w:tc>
          <w:tcPr>
            <w:tcW w:w="9855" w:type="dxa"/>
            <w:gridSpan w:val="2"/>
            <w:tcBorders>
              <w:top w:val="single" w:color="000000" w:sz="4"/>
              <w:left w:val="single" w:color="000000" w:sz="4"/>
              <w:bottom w:val="single" w:color="000000" w:sz="4"/>
              <w:right w:val="single" w:color="000000" w:sz="4"/>
            </w:tcBorders>
            <w:shd w:color="auto" w:fill="005767" w:val="clear"/>
            <w:tcMar>
              <w:left w:w="108" w:type="dxa"/>
              <w:right w:w="108" w:type="dxa"/>
            </w:tcMar>
            <w:vAlign w:val="top"/>
          </w:tcPr>
          <w:p>
            <w:pPr>
              <w:spacing w:before="60" w:after="60" w:line="240"/>
              <w:ind w:right="0" w:left="0" w:firstLine="0"/>
              <w:jc w:val="center"/>
              <w:rPr>
                <w:spacing w:val="0"/>
                <w:position w:val="0"/>
                <w:sz w:val="22"/>
                <w:shd w:fill="auto" w:val="clear"/>
              </w:rPr>
            </w:pPr>
            <w:r>
              <w:rPr>
                <w:rFonts w:ascii="Arial" w:hAnsi="Arial" w:cs="Arial" w:eastAsia="Arial"/>
                <w:b/>
                <w:color w:val="FFFFFF"/>
                <w:spacing w:val="0"/>
                <w:position w:val="0"/>
                <w:sz w:val="22"/>
                <w:shd w:fill="auto" w:val="clear"/>
              </w:rPr>
              <w:t xml:space="preserve">TAB GAMBLING VENUES POLICY</w:t>
            </w:r>
          </w:p>
        </w:tc>
      </w:tr>
      <w:tr>
        <w:trPr>
          <w:trHeight w:val="1" w:hRule="atLeast"/>
          <w:jc w:val="left"/>
        </w:trPr>
        <w:tc>
          <w:tcPr>
            <w:tcW w:w="3794" w:type="dxa"/>
            <w:tcBorders>
              <w:top w:val="single" w:color="000000" w:sz="4"/>
              <w:left w:val="single" w:color="000000" w:sz="4"/>
              <w:bottom w:val="single" w:color="000000" w:sz="4"/>
              <w:right w:val="single" w:color="777777" w:sz="4"/>
            </w:tcBorders>
            <w:shd w:color="auto" w:fill="f3f3f3" w:val="clear"/>
            <w:tcMar>
              <w:left w:w="108" w:type="dxa"/>
              <w:right w:w="108" w:type="dxa"/>
            </w:tcMar>
            <w:vAlign w:val="top"/>
          </w:tcPr>
          <w:p>
            <w:pPr>
              <w:spacing w:before="60" w:after="60" w:line="240"/>
              <w:ind w:right="0" w:left="0" w:firstLine="0"/>
              <w:jc w:val="both"/>
              <w:rPr>
                <w:color w:val="auto"/>
                <w:spacing w:val="0"/>
                <w:position w:val="0"/>
                <w:shd w:fill="auto" w:val="clear"/>
              </w:rPr>
            </w:pPr>
            <w:r>
              <w:rPr>
                <w:rFonts w:ascii="Arial" w:hAnsi="Arial" w:cs="Arial" w:eastAsia="Arial"/>
                <w:b/>
                <w:color w:val="auto"/>
                <w:spacing w:val="0"/>
                <w:position w:val="0"/>
                <w:sz w:val="20"/>
                <w:shd w:fill="auto" w:val="clear"/>
              </w:rPr>
              <w:t xml:space="preserve">Reference Number:</w:t>
            </w:r>
          </w:p>
        </w:tc>
        <w:tc>
          <w:tcPr>
            <w:tcW w:w="6061" w:type="dxa"/>
            <w:tcBorders>
              <w:top w:val="single" w:color="000000" w:sz="4"/>
              <w:left w:val="single" w:color="777777" w:sz="4"/>
              <w:bottom w:val="single" w:color="000000" w:sz="4"/>
              <w:right w:val="single" w:color="000000" w:sz="4"/>
            </w:tcBorders>
            <w:shd w:color="auto" w:fill="f3f3f3" w:val="clear"/>
            <w:tcMar>
              <w:left w:w="108" w:type="dxa"/>
              <w:right w:w="108" w:type="dxa"/>
            </w:tcMar>
            <w:vAlign w:val="top"/>
          </w:tcPr>
          <w:p>
            <w:pPr>
              <w:spacing w:before="60" w:after="60" w:line="240"/>
              <w:ind w:right="0" w:left="0" w:firstLine="0"/>
              <w:jc w:val="both"/>
              <w:rPr>
                <w:color w:val="auto"/>
                <w:spacing w:val="0"/>
                <w:position w:val="0"/>
                <w:shd w:fill="auto" w:val="clear"/>
              </w:rPr>
            </w:pPr>
            <w:r>
              <w:rPr>
                <w:rFonts w:ascii="Arial" w:hAnsi="Arial" w:cs="Arial" w:eastAsia="Arial"/>
                <w:color w:val="auto"/>
                <w:spacing w:val="0"/>
                <w:position w:val="0"/>
                <w:sz w:val="20"/>
                <w:shd w:fill="auto" w:val="clear"/>
              </w:rPr>
              <w:t xml:space="preserve">A1347208</w:t>
            </w:r>
          </w:p>
        </w:tc>
      </w:tr>
      <w:tr>
        <w:trPr>
          <w:trHeight w:val="1" w:hRule="atLeast"/>
          <w:jc w:val="left"/>
        </w:trPr>
        <w:tc>
          <w:tcPr>
            <w:tcW w:w="3794" w:type="dxa"/>
            <w:tcBorders>
              <w:top w:val="single" w:color="000000" w:sz="4"/>
              <w:left w:val="single" w:color="000000" w:sz="4"/>
              <w:bottom w:val="single" w:color="000000" w:sz="4"/>
              <w:right w:val="single" w:color="777777" w:sz="4"/>
            </w:tcBorders>
            <w:shd w:color="auto" w:fill="d9d9d9" w:val="clear"/>
            <w:tcMar>
              <w:left w:w="108" w:type="dxa"/>
              <w:right w:w="108" w:type="dxa"/>
            </w:tcMar>
            <w:vAlign w:val="top"/>
          </w:tcPr>
          <w:p>
            <w:pPr>
              <w:spacing w:before="60" w:after="6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Authorised by:</w:t>
            </w:r>
          </w:p>
          <w:p>
            <w:pPr>
              <w:spacing w:before="60" w:after="60" w:line="240"/>
              <w:ind w:right="0" w:left="0" w:firstLine="0"/>
              <w:jc w:val="both"/>
              <w:rPr>
                <w:color w:val="auto"/>
                <w:spacing w:val="0"/>
                <w:position w:val="0"/>
                <w:shd w:fill="auto" w:val="clear"/>
              </w:rPr>
            </w:pPr>
          </w:p>
        </w:tc>
        <w:tc>
          <w:tcPr>
            <w:tcW w:w="6061" w:type="dxa"/>
            <w:tcBorders>
              <w:top w:val="single" w:color="000000" w:sz="4"/>
              <w:left w:val="single" w:color="777777" w:sz="4"/>
              <w:bottom w:val="single" w:color="000000" w:sz="4"/>
              <w:right w:val="single" w:color="000000" w:sz="4"/>
            </w:tcBorders>
            <w:shd w:color="auto" w:fill="d9d9d9" w:val="clear"/>
            <w:tcMar>
              <w:left w:w="108" w:type="dxa"/>
              <w:right w:w="108" w:type="dxa"/>
            </w:tcMar>
            <w:vAlign w:val="top"/>
          </w:tcPr>
          <w:p>
            <w:pPr>
              <w:spacing w:before="60" w:after="6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Effective Date: </w:t>
            </w:r>
          </w:p>
          <w:p>
            <w:pPr>
              <w:spacing w:before="60" w:after="60" w:line="240"/>
              <w:ind w:right="0" w:left="0" w:firstLine="0"/>
              <w:jc w:val="both"/>
              <w:rPr>
                <w:color w:val="auto"/>
                <w:spacing w:val="0"/>
                <w:position w:val="0"/>
                <w:shd w:fill="auto" w:val="clear"/>
              </w:rPr>
            </w:pPr>
            <w:r>
              <w:rPr>
                <w:rFonts w:ascii="Arial" w:hAnsi="Arial" w:cs="Arial" w:eastAsia="Arial"/>
                <w:b/>
                <w:color w:val="auto"/>
                <w:spacing w:val="0"/>
                <w:position w:val="0"/>
                <w:sz w:val="20"/>
                <w:shd w:fill="auto" w:val="clear"/>
              </w:rPr>
              <w:t xml:space="preserve">Supersedes: </w:t>
            </w:r>
          </w:p>
        </w:tc>
      </w:tr>
      <w:tr>
        <w:trPr>
          <w:trHeight w:val="1" w:hRule="atLeast"/>
          <w:jc w:val="left"/>
        </w:trPr>
        <w:tc>
          <w:tcPr>
            <w:tcW w:w="3794" w:type="dxa"/>
            <w:tcBorders>
              <w:top w:val="single" w:color="000000" w:sz="4"/>
              <w:left w:val="single" w:color="000000" w:sz="4"/>
              <w:bottom w:val="single" w:color="000000" w:sz="4"/>
              <w:right w:val="single" w:color="777777" w:sz="4"/>
            </w:tcBorders>
            <w:shd w:color="auto" w:fill="f3f3f3" w:val="clear"/>
            <w:tcMar>
              <w:left w:w="108" w:type="dxa"/>
              <w:right w:w="108" w:type="dxa"/>
            </w:tcMar>
            <w:vAlign w:val="top"/>
          </w:tcPr>
          <w:p>
            <w:pPr>
              <w:spacing w:before="60" w:after="60" w:line="240"/>
              <w:ind w:right="0" w:left="0" w:firstLine="0"/>
              <w:jc w:val="both"/>
              <w:rPr>
                <w:color w:val="auto"/>
                <w:spacing w:val="0"/>
                <w:position w:val="0"/>
                <w:shd w:fill="auto" w:val="clear"/>
              </w:rPr>
            </w:pPr>
            <w:r>
              <w:rPr>
                <w:rFonts w:ascii="Arial" w:hAnsi="Arial" w:cs="Arial" w:eastAsia="Arial"/>
                <w:b/>
                <w:color w:val="auto"/>
                <w:spacing w:val="0"/>
                <w:position w:val="0"/>
                <w:sz w:val="20"/>
                <w:shd w:fill="auto" w:val="clear"/>
              </w:rPr>
              <w:t xml:space="preserve">Policy Owner:</w:t>
            </w:r>
          </w:p>
        </w:tc>
        <w:tc>
          <w:tcPr>
            <w:tcW w:w="6061" w:type="dxa"/>
            <w:tcBorders>
              <w:top w:val="single" w:color="000000" w:sz="4"/>
              <w:left w:val="single" w:color="777777" w:sz="4"/>
              <w:bottom w:val="single" w:color="000000" w:sz="4"/>
              <w:right w:val="single" w:color="000000" w:sz="4"/>
            </w:tcBorders>
            <w:shd w:color="auto" w:fill="f3f3f3" w:val="clear"/>
            <w:tcMar>
              <w:left w:w="108" w:type="dxa"/>
              <w:right w:w="108" w:type="dxa"/>
            </w:tcMar>
            <w:vAlign w:val="top"/>
          </w:tcPr>
          <w:p>
            <w:pPr>
              <w:spacing w:before="60" w:after="60" w:line="240"/>
              <w:ind w:right="0" w:left="0" w:firstLine="0"/>
              <w:jc w:val="both"/>
              <w:rPr>
                <w:color w:val="auto"/>
                <w:spacing w:val="0"/>
                <w:position w:val="0"/>
                <w:shd w:fill="auto" w:val="clear"/>
              </w:rPr>
            </w:pPr>
            <w:r>
              <w:rPr>
                <w:rFonts w:ascii="Arial" w:hAnsi="Arial" w:cs="Arial" w:eastAsia="Arial"/>
                <w:color w:val="auto"/>
                <w:spacing w:val="0"/>
                <w:position w:val="0"/>
                <w:sz w:val="20"/>
                <w:shd w:fill="auto" w:val="clear"/>
              </w:rPr>
              <w:t xml:space="preserve">Invercargill City Council</w:t>
            </w:r>
          </w:p>
        </w:tc>
      </w:tr>
      <w:tr>
        <w:trPr>
          <w:trHeight w:val="1" w:hRule="atLeast"/>
          <w:jc w:val="left"/>
        </w:trPr>
        <w:tc>
          <w:tcPr>
            <w:tcW w:w="3794" w:type="dxa"/>
            <w:tcBorders>
              <w:top w:val="single" w:color="000000" w:sz="4"/>
              <w:left w:val="single" w:color="000000" w:sz="4"/>
              <w:bottom w:val="single" w:color="000000" w:sz="4"/>
              <w:right w:val="single" w:color="777777" w:sz="4"/>
            </w:tcBorders>
            <w:shd w:color="auto" w:fill="d9d9d9" w:val="clear"/>
            <w:tcMar>
              <w:left w:w="108" w:type="dxa"/>
              <w:right w:w="108" w:type="dxa"/>
            </w:tcMar>
            <w:vAlign w:val="top"/>
          </w:tcPr>
          <w:p>
            <w:pPr>
              <w:spacing w:before="60" w:after="6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Purpose:</w:t>
            </w:r>
          </w:p>
          <w:p>
            <w:pPr>
              <w:spacing w:before="60" w:after="60" w:line="240"/>
              <w:ind w:right="0" w:left="0" w:firstLine="0"/>
              <w:jc w:val="both"/>
              <w:rPr>
                <w:color w:val="auto"/>
                <w:spacing w:val="0"/>
                <w:position w:val="0"/>
                <w:shd w:fill="auto" w:val="clear"/>
              </w:rPr>
            </w:pPr>
            <w:r>
              <w:rPr>
                <w:rFonts w:ascii="Arial" w:hAnsi="Arial" w:cs="Arial" w:eastAsia="Arial"/>
                <w:color w:val="auto"/>
                <w:spacing w:val="0"/>
                <w:position w:val="0"/>
                <w:sz w:val="20"/>
                <w:shd w:fill="auto" w:val="clear"/>
              </w:rPr>
              <w:t xml:space="preserve">This defines the statement of intent of the policy.</w:t>
            </w:r>
          </w:p>
        </w:tc>
        <w:tc>
          <w:tcPr>
            <w:tcW w:w="6061" w:type="dxa"/>
            <w:tcBorders>
              <w:top w:val="single" w:color="000000" w:sz="4"/>
              <w:left w:val="single" w:color="777777" w:sz="4"/>
              <w:bottom w:val="single" w:color="000000" w:sz="4"/>
              <w:right w:val="single" w:color="000000" w:sz="4"/>
            </w:tcBorders>
            <w:shd w:color="auto" w:fill="d9d9d9" w:val="clear"/>
            <w:tcMar>
              <w:left w:w="108" w:type="dxa"/>
              <w:right w:w="108" w:type="dxa"/>
            </w:tcMar>
            <w:vAlign w:val="top"/>
          </w:tcPr>
          <w:p>
            <w:pPr>
              <w:tabs>
                <w:tab w:val="left" w:pos="426" w:leader="none"/>
              </w:tabs>
              <w:spacing w:before="60" w:after="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To assist in limiting the harm of problem gambling in the community.</w:t>
            </w:r>
          </w:p>
          <w:p>
            <w:pPr>
              <w:tabs>
                <w:tab w:val="left" w:pos="426" w:leader="none"/>
              </w:tabs>
              <w:spacing w:before="60" w:after="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To encourage responsible gambling practices and attitudes in stand alone TAB Board Venues.</w:t>
            </w:r>
          </w:p>
          <w:p>
            <w:pPr>
              <w:tabs>
                <w:tab w:val="left" w:pos="426" w:leader="none"/>
              </w:tabs>
              <w:spacing w:before="60" w:after="60" w:line="240"/>
              <w:ind w:right="0" w:left="0" w:firstLine="0"/>
              <w:jc w:val="both"/>
              <w:rPr>
                <w:color w:val="auto"/>
                <w:spacing w:val="0"/>
                <w:position w:val="0"/>
                <w:shd w:fill="auto" w:val="clear"/>
              </w:rPr>
            </w:pPr>
            <w:r>
              <w:rPr>
                <w:rFonts w:ascii="Arial" w:hAnsi="Arial" w:cs="Arial" w:eastAsia="Arial"/>
                <w:color w:val="auto"/>
                <w:spacing w:val="0"/>
                <w:position w:val="0"/>
                <w:sz w:val="20"/>
                <w:shd w:fill="auto" w:val="clear"/>
              </w:rPr>
              <w:t xml:space="preserve">To facilitate community involvement in decisions about gambling by ensuring that all communities in the Invercargill district are given the opportunity to consult with Council in a manner that is culturally appropriate.</w:t>
            </w: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005767" w:val="clear"/>
            <w:tcMar>
              <w:left w:w="108" w:type="dxa"/>
              <w:right w:w="108" w:type="dxa"/>
            </w:tcMar>
            <w:vAlign w:val="top"/>
          </w:tcPr>
          <w:p>
            <w:pPr>
              <w:spacing w:before="60" w:after="60" w:line="240"/>
              <w:ind w:right="0" w:left="0" w:firstLine="0"/>
              <w:jc w:val="left"/>
              <w:rPr>
                <w:spacing w:val="0"/>
                <w:position w:val="0"/>
                <w:shd w:fill="auto" w:val="clear"/>
              </w:rPr>
            </w:pPr>
            <w:r>
              <w:rPr>
                <w:rFonts w:ascii="Arial" w:hAnsi="Arial" w:cs="Arial" w:eastAsia="Arial"/>
                <w:b/>
                <w:color w:val="FFFFFF"/>
                <w:spacing w:val="0"/>
                <w:position w:val="0"/>
                <w:sz w:val="20"/>
                <w:shd w:fill="auto" w:val="clear"/>
              </w:rPr>
              <w:t xml:space="preserve">INTRODUCTION</w:t>
            </w: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d5e8c1" w:val="clear"/>
            <w:tcMar>
              <w:left w:w="108" w:type="dxa"/>
              <w:right w:w="108" w:type="dxa"/>
            </w:tcMar>
            <w:vAlign w:val="top"/>
          </w:tcPr>
          <w:p>
            <w:pPr>
              <w:spacing w:before="60" w:after="6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f3f3f3" w:val="clear"/>
            <w:tcMar>
              <w:left w:w="108" w:type="dxa"/>
              <w:right w:w="108" w:type="dxa"/>
            </w:tcMar>
            <w:vAlign w:val="top"/>
          </w:tcPr>
          <w:p>
            <w:pPr>
              <w:numPr>
                <w:ilvl w:val="0"/>
                <w:numId w:val="26"/>
              </w:numPr>
              <w:tabs>
                <w:tab w:val="left" w:pos="360" w:leader="none"/>
                <w:tab w:val="left" w:pos="426" w:leader="none"/>
              </w:tabs>
              <w:spacing w:before="60" w:after="60" w:line="240"/>
              <w:ind w:right="0" w:left="426" w:hanging="426"/>
              <w:jc w:val="both"/>
              <w:rPr>
                <w:spacing w:val="0"/>
                <w:position w:val="0"/>
                <w:shd w:fill="auto" w:val="clear"/>
              </w:rPr>
            </w:pPr>
            <w:r>
              <w:rPr>
                <w:rFonts w:ascii="Arial" w:hAnsi="Arial" w:cs="Arial" w:eastAsia="Arial"/>
                <w:color w:val="auto"/>
                <w:spacing w:val="0"/>
                <w:position w:val="0"/>
                <w:sz w:val="20"/>
                <w:shd w:fill="auto" w:val="clear"/>
              </w:rPr>
              <w:t xml:space="preserve">As required under the Gambling Act 2003 </w:t>
            </w:r>
            <w:r>
              <w:rPr>
                <w:rFonts w:ascii="Arial" w:hAnsi="Arial" w:cs="Arial" w:eastAsia="Arial"/>
                <w:color w:val="000000"/>
                <w:spacing w:val="0"/>
                <w:position w:val="0"/>
                <w:sz w:val="20"/>
                <w:shd w:fill="auto" w:val="clear"/>
              </w:rPr>
              <w:t xml:space="preserve">the</w:t>
            </w:r>
            <w:r>
              <w:rPr>
                <w:rFonts w:ascii="Arial" w:hAnsi="Arial" w:cs="Arial" w:eastAsia="Arial"/>
                <w:color w:val="auto"/>
                <w:spacing w:val="0"/>
                <w:position w:val="0"/>
                <w:sz w:val="20"/>
                <w:shd w:fill="auto" w:val="clear"/>
              </w:rPr>
              <w:t xml:space="preserve"> New Zealand Racing Board must seek consent of the Council if it intends to establish a stand-alone Board venue or TAB for sport race betting. </w:t>
            </w: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005767" w:val="clear"/>
            <w:tcMar>
              <w:left w:w="108" w:type="dxa"/>
              <w:right w:w="108" w:type="dxa"/>
            </w:tcMar>
            <w:vAlign w:val="top"/>
          </w:tcPr>
          <w:p>
            <w:pPr>
              <w:spacing w:before="60" w:after="60" w:line="240"/>
              <w:ind w:right="0" w:left="0" w:firstLine="0"/>
              <w:jc w:val="left"/>
              <w:rPr>
                <w:spacing w:val="0"/>
                <w:position w:val="0"/>
                <w:shd w:fill="auto" w:val="clear"/>
              </w:rPr>
            </w:pPr>
            <w:r>
              <w:rPr>
                <w:rFonts w:ascii="Arial" w:hAnsi="Arial" w:cs="Arial" w:eastAsia="Arial"/>
                <w:b/>
                <w:color w:val="FFFFFF"/>
                <w:spacing w:val="0"/>
                <w:position w:val="0"/>
                <w:sz w:val="20"/>
                <w:shd w:fill="auto" w:val="clear"/>
              </w:rPr>
              <w:t xml:space="preserve">DEFINITIONS</w:t>
            </w: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d5e8c1" w:val="clear"/>
            <w:tcMar>
              <w:left w:w="108" w:type="dxa"/>
              <w:right w:w="108" w:type="dxa"/>
            </w:tcMar>
            <w:vAlign w:val="top"/>
          </w:tcPr>
          <w:p>
            <w:pPr>
              <w:spacing w:before="60" w:after="6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d9d9d9" w:val="clear"/>
            <w:tcMar>
              <w:left w:w="108" w:type="dxa"/>
              <w:right w:w="108" w:type="dxa"/>
            </w:tcMar>
            <w:vAlign w:val="top"/>
          </w:tcPr>
          <w:p>
            <w:pPr>
              <w:spacing w:before="60" w:after="60" w:line="240"/>
              <w:ind w:right="0" w:left="0" w:firstLine="0"/>
              <w:jc w:val="both"/>
              <w:rPr>
                <w:spacing w:val="0"/>
                <w:position w:val="0"/>
                <w:shd w:fill="auto" w:val="clear"/>
              </w:rPr>
            </w:pPr>
            <w:r>
              <w:rPr>
                <w:rFonts w:ascii="Arial" w:hAnsi="Arial" w:cs="Arial" w:eastAsia="Arial"/>
                <w:b/>
                <w:i/>
                <w:color w:val="auto"/>
                <w:spacing w:val="0"/>
                <w:position w:val="0"/>
                <w:sz w:val="20"/>
                <w:shd w:fill="auto" w:val="clear"/>
              </w:rPr>
              <w:t xml:space="preserve">Board Venues (TAB Venue) </w:t>
            </w:r>
            <w:r>
              <w:rPr>
                <w:rFonts w:ascii="Arial" w:hAnsi="Arial" w:cs="Arial" w:eastAsia="Arial"/>
                <w:color w:val="auto"/>
                <w:spacing w:val="0"/>
                <w:position w:val="0"/>
                <w:sz w:val="20"/>
                <w:shd w:fill="auto" w:val="clear"/>
              </w:rPr>
              <w:t xml:space="preserve">– means premises that are owned or leased by the New Zealand Racing Board and where the main business carried on at the premises is providing racing, betting or sports betting services as provided for in the Gambling Act 2003 and under the Racing Act 2003.  </w:t>
            </w:r>
            <w:r>
              <w:rPr>
                <w:rFonts w:ascii="Arial" w:hAnsi="Arial" w:cs="Arial" w:eastAsia="Arial"/>
                <w:color w:val="000000"/>
                <w:spacing w:val="0"/>
                <w:position w:val="0"/>
                <w:sz w:val="20"/>
                <w:shd w:fill="auto" w:val="clear"/>
              </w:rPr>
              <w:t xml:space="preserve">It covers stand-alone TAB Board Venues only and Council consent is not required under the legislation to establish a TAB facility in a bar, hotel or club. </w:t>
            </w: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d9d9d9" w:val="clear"/>
            <w:tcMar>
              <w:left w:w="108" w:type="dxa"/>
              <w:right w:w="108" w:type="dxa"/>
            </w:tcMar>
            <w:vAlign w:val="top"/>
          </w:tcPr>
          <w:p>
            <w:pPr>
              <w:spacing w:before="60" w:after="60" w:line="240"/>
              <w:ind w:right="0" w:left="0" w:firstLine="0"/>
              <w:jc w:val="both"/>
              <w:rPr>
                <w:spacing w:val="0"/>
                <w:position w:val="0"/>
                <w:shd w:fill="auto" w:val="clear"/>
              </w:rPr>
            </w:pPr>
            <w:r>
              <w:rPr>
                <w:rFonts w:ascii="Arial" w:hAnsi="Arial" w:cs="Arial" w:eastAsia="Arial"/>
                <w:b/>
                <w:i/>
                <w:color w:val="000000"/>
                <w:spacing w:val="0"/>
                <w:position w:val="0"/>
                <w:sz w:val="20"/>
                <w:shd w:fill="auto" w:val="clear"/>
              </w:rPr>
              <w:t xml:space="preserve">CBD—</w:t>
            </w:r>
            <w:r>
              <w:rPr>
                <w:rFonts w:ascii="Arial" w:hAnsi="Arial" w:cs="Arial" w:eastAsia="Arial"/>
                <w:color w:val="000000"/>
                <w:spacing w:val="0"/>
                <w:position w:val="0"/>
                <w:sz w:val="20"/>
                <w:shd w:fill="auto" w:val="clear"/>
              </w:rPr>
              <w:t xml:space="preserve">means the area defined by the map attached in appendix 2.</w:t>
            </w: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d9d9d9" w:val="clear"/>
            <w:tcMar>
              <w:left w:w="108" w:type="dxa"/>
              <w:right w:w="108" w:type="dxa"/>
            </w:tcMar>
            <w:vAlign w:val="top"/>
          </w:tcPr>
          <w:p>
            <w:pPr>
              <w:spacing w:before="60" w:after="60" w:line="240"/>
              <w:ind w:right="0" w:left="0" w:firstLine="0"/>
              <w:jc w:val="both"/>
              <w:rPr>
                <w:color w:val="auto"/>
                <w:spacing w:val="0"/>
                <w:position w:val="0"/>
                <w:shd w:fill="auto" w:val="clear"/>
              </w:rPr>
            </w:pPr>
            <w:r>
              <w:rPr>
                <w:rFonts w:ascii="Arial" w:hAnsi="Arial" w:cs="Arial" w:eastAsia="Arial"/>
                <w:b/>
                <w:i/>
                <w:color w:val="auto"/>
                <w:spacing w:val="0"/>
                <w:position w:val="0"/>
                <w:sz w:val="20"/>
                <w:shd w:fill="auto" w:val="clear"/>
              </w:rPr>
              <w:t xml:space="preserve">Invercargill District</w:t>
            </w:r>
            <w:r>
              <w:rPr>
                <w:rFonts w:ascii="Arial" w:hAnsi="Arial" w:cs="Arial" w:eastAsia="Arial"/>
                <w:i/>
                <w:color w:val="auto"/>
                <w:spacing w:val="0"/>
                <w:position w:val="0"/>
                <w:sz w:val="20"/>
                <w:shd w:fill="auto" w:val="clear"/>
              </w:rPr>
              <w:t xml:space="preserve"> – </w:t>
            </w:r>
            <w:r>
              <w:rPr>
                <w:rFonts w:ascii="Arial" w:hAnsi="Arial" w:cs="Arial" w:eastAsia="Arial"/>
                <w:color w:val="auto"/>
                <w:spacing w:val="0"/>
                <w:position w:val="0"/>
                <w:sz w:val="20"/>
                <w:shd w:fill="auto" w:val="clear"/>
              </w:rPr>
              <w:t xml:space="preserve">means all the area covered by the Invercargill Territorial Local Authority.</w:t>
            </w: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d9d9d9" w:val="clear"/>
            <w:tcMar>
              <w:left w:w="108" w:type="dxa"/>
              <w:right w:w="108" w:type="dxa"/>
            </w:tcMar>
            <w:vAlign w:val="top"/>
          </w:tcPr>
          <w:p>
            <w:pPr>
              <w:spacing w:before="60" w:after="60" w:line="240"/>
              <w:ind w:right="0" w:left="0" w:firstLine="0"/>
              <w:jc w:val="both"/>
              <w:rPr>
                <w:color w:val="auto"/>
                <w:spacing w:val="0"/>
                <w:position w:val="0"/>
                <w:shd w:fill="auto" w:val="clear"/>
              </w:rPr>
            </w:pPr>
            <w:r>
              <w:rPr>
                <w:rFonts w:ascii="Arial" w:hAnsi="Arial" w:cs="Arial" w:eastAsia="Arial"/>
                <w:b/>
                <w:i/>
                <w:color w:val="auto"/>
                <w:spacing w:val="0"/>
                <w:position w:val="0"/>
                <w:sz w:val="20"/>
                <w:shd w:fill="auto" w:val="clear"/>
              </w:rPr>
              <w:t xml:space="preserve">New Venue </w:t>
            </w:r>
            <w:r>
              <w:rPr>
                <w:rFonts w:ascii="Arial" w:hAnsi="Arial" w:cs="Arial" w:eastAsia="Arial"/>
                <w:color w:val="auto"/>
                <w:spacing w:val="0"/>
                <w:position w:val="0"/>
                <w:sz w:val="20"/>
                <w:shd w:fill="auto" w:val="clear"/>
              </w:rPr>
              <w:t xml:space="preserve">- any venue that has not held a venue licence for six months or more or that has never held a venue consent.</w:t>
            </w: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d9d9d9" w:val="clear"/>
            <w:tcMar>
              <w:left w:w="108" w:type="dxa"/>
              <w:right w:w="108" w:type="dxa"/>
            </w:tcMar>
            <w:vAlign w:val="top"/>
          </w:tcPr>
          <w:p>
            <w:pPr>
              <w:spacing w:before="60" w:after="60" w:line="240"/>
              <w:ind w:right="0" w:left="0" w:firstLine="0"/>
              <w:jc w:val="both"/>
              <w:rPr>
                <w:color w:val="auto"/>
                <w:spacing w:val="0"/>
                <w:position w:val="0"/>
                <w:shd w:fill="auto" w:val="clear"/>
              </w:rPr>
            </w:pPr>
            <w:r>
              <w:rPr>
                <w:rFonts w:ascii="Arial" w:hAnsi="Arial" w:cs="Arial" w:eastAsia="Arial"/>
                <w:b/>
                <w:i/>
                <w:color w:val="auto"/>
                <w:spacing w:val="0"/>
                <w:position w:val="0"/>
                <w:sz w:val="20"/>
                <w:shd w:fill="auto" w:val="clear"/>
              </w:rPr>
              <w:t xml:space="preserve">The Council</w:t>
            </w:r>
            <w:r>
              <w:rPr>
                <w:rFonts w:ascii="Arial" w:hAnsi="Arial" w:cs="Arial" w:eastAsia="Arial"/>
                <w:i/>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 means Invercargill City Council.</w:t>
            </w: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005767" w:val="clear"/>
            <w:tcMar>
              <w:left w:w="108" w:type="dxa"/>
              <w:right w:w="108" w:type="dxa"/>
            </w:tcMar>
            <w:vAlign w:val="top"/>
          </w:tcPr>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60" w:after="60" w:line="240"/>
              <w:ind w:right="0" w:left="0" w:firstLine="0"/>
              <w:jc w:val="left"/>
              <w:rPr>
                <w:spacing w:val="0"/>
                <w:position w:val="0"/>
                <w:shd w:fill="auto" w:val="clear"/>
              </w:rPr>
            </w:pPr>
            <w:r>
              <w:rPr>
                <w:rFonts w:ascii="Arial" w:hAnsi="Arial" w:cs="Arial" w:eastAsia="Arial"/>
                <w:b/>
                <w:color w:val="FFFFFF"/>
                <w:spacing w:val="0"/>
                <w:position w:val="0"/>
                <w:sz w:val="20"/>
                <w:shd w:fill="auto" w:val="clear"/>
              </w:rPr>
              <w:t xml:space="preserve">POLICY STATEMENTS</w:t>
            </w: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d5e8c1" w:val="clear"/>
            <w:tcMar>
              <w:left w:w="108" w:type="dxa"/>
              <w:right w:w="108" w:type="dxa"/>
            </w:tcMar>
            <w:vAlign w:val="top"/>
          </w:tcPr>
          <w:p>
            <w:pPr>
              <w:tabs>
                <w:tab w:val="left" w:pos="426" w:leader="none"/>
              </w:tabs>
              <w:spacing w:before="60" w:after="60" w:line="240"/>
              <w:ind w:right="0" w:left="426" w:hanging="426"/>
              <w:jc w:val="both"/>
              <w:rPr>
                <w:rFonts w:ascii="Calibri" w:hAnsi="Calibri" w:cs="Calibri" w:eastAsia="Calibri"/>
                <w:color w:val="auto"/>
                <w:spacing w:val="0"/>
                <w:position w:val="0"/>
                <w:sz w:val="22"/>
                <w:shd w:fill="auto" w:val="clear"/>
              </w:rPr>
            </w:pP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tabs>
                <w:tab w:val="left" w:pos="426" w:leader="none"/>
              </w:tabs>
              <w:spacing w:before="60" w:after="6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Transfer or changes to existing venues</w:t>
            </w:r>
          </w:p>
          <w:p>
            <w:pPr>
              <w:tabs>
                <w:tab w:val="left" w:pos="426" w:leader="none"/>
              </w:tabs>
              <w:spacing w:before="60" w:after="60" w:line="240"/>
              <w:ind w:right="0" w:left="426" w:hanging="426"/>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w:t>
              <w:tab/>
              <w:t xml:space="preserve">If the owner(s) of the principal business of the venue changes, the Council consent remains    allocated to the New Zealand Racing Board for the venue. The new owner is not required to obtain a Council consent but a new licence may be required from the Department of Internal Affairs (DIA).</w:t>
            </w:r>
          </w:p>
          <w:p>
            <w:pPr>
              <w:tabs>
                <w:tab w:val="left" w:pos="426" w:leader="none"/>
              </w:tabs>
              <w:spacing w:before="60" w:after="60" w:line="240"/>
              <w:ind w:right="0" w:left="426" w:hanging="426"/>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(ii)</w:t>
              <w:tab/>
              <w:t xml:space="preserve">Council will consent to the transfer of a licence for an existing venue to a new venue only in the Central Business District (CBD) area of the map attached. Council must also consider the location suitable taking into account the matters referred to in Section 101(4) of the Gambling Act 2003.</w:t>
            </w:r>
          </w:p>
          <w:p>
            <w:pPr>
              <w:tabs>
                <w:tab w:val="left" w:pos="426" w:leader="none"/>
              </w:tabs>
              <w:spacing w:before="60" w:after="60" w:line="240"/>
              <w:ind w:right="0" w:left="426" w:hanging="426"/>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(iv)</w:t>
              <w:tab/>
              <w:t xml:space="preserve">Any substitute venues may only be established in the zones permitted for this purpose in the Invercargill City Council District Plan. Council must also consider the location suitable taking into account the matters referred to in Section 101(4) of the Gambling Act 2003.</w:t>
            </w:r>
          </w:p>
          <w:p>
            <w:pPr>
              <w:tabs>
                <w:tab w:val="left" w:pos="426" w:leader="none"/>
              </w:tabs>
              <w:spacing w:before="60" w:after="60" w:line="240"/>
              <w:ind w:right="0" w:left="426" w:hanging="426"/>
              <w:jc w:val="both"/>
              <w:rPr>
                <w:color w:val="auto"/>
                <w:spacing w:val="0"/>
                <w:position w:val="0"/>
                <w:shd w:fill="auto" w:val="clear"/>
              </w:rPr>
            </w:pPr>
            <w:r>
              <w:rPr>
                <w:rFonts w:ascii="Arial" w:hAnsi="Arial" w:cs="Arial" w:eastAsia="Arial"/>
                <w:color w:val="auto"/>
                <w:spacing w:val="0"/>
                <w:position w:val="0"/>
                <w:sz w:val="20"/>
                <w:shd w:fill="auto" w:val="clear"/>
              </w:rPr>
              <w:t xml:space="preserve">(v)  Council will not provide relocation consent in areas that are outside of the CBD as defined in the attached map and are in conjunction with the District Plan.</w:t>
            </w: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005767" w:val="clear"/>
            <w:tcMar>
              <w:left w:w="108" w:type="dxa"/>
              <w:right w:w="108" w:type="dxa"/>
            </w:tcMar>
            <w:vAlign w:val="top"/>
          </w:tcPr>
          <w:p>
            <w:pPr>
              <w:spacing w:before="60" w:after="60" w:line="240"/>
              <w:ind w:right="0" w:left="0" w:firstLine="0"/>
              <w:jc w:val="left"/>
              <w:rPr>
                <w:spacing w:val="0"/>
                <w:position w:val="0"/>
                <w:shd w:fill="auto" w:val="clear"/>
              </w:rPr>
            </w:pPr>
            <w:r>
              <w:rPr>
                <w:rFonts w:ascii="Arial" w:hAnsi="Arial" w:cs="Arial" w:eastAsia="Arial"/>
                <w:b/>
                <w:color w:val="FFFFFF"/>
                <w:spacing w:val="0"/>
                <w:position w:val="0"/>
                <w:sz w:val="20"/>
                <w:shd w:fill="auto" w:val="clear"/>
              </w:rPr>
              <w:t xml:space="preserve">ENCOURAGING RESPONSIBLE GAMBLING PRACTICES</w:t>
            </w: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d5e8c1" w:val="clear"/>
            <w:tcMar>
              <w:left w:w="108" w:type="dxa"/>
              <w:right w:w="108" w:type="dxa"/>
            </w:tcMar>
            <w:vAlign w:val="top"/>
          </w:tcPr>
          <w:p>
            <w:pPr>
              <w:spacing w:before="60" w:after="6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d9d9d9" w:val="clear"/>
            <w:tcMar>
              <w:left w:w="108" w:type="dxa"/>
              <w:right w:w="108" w:type="dxa"/>
            </w:tcMar>
            <w:vAlign w:val="top"/>
          </w:tcPr>
          <w:p>
            <w:pPr>
              <w:numPr>
                <w:ilvl w:val="0"/>
                <w:numId w:val="63"/>
              </w:numPr>
              <w:tabs>
                <w:tab w:val="left" w:pos="720" w:leader="none"/>
                <w:tab w:val="left" w:pos="426" w:leader="none"/>
                <w:tab w:val="left" w:pos="1440" w:leader="none"/>
              </w:tabs>
              <w:spacing w:before="60" w:after="60" w:line="240"/>
              <w:ind w:right="0" w:left="426" w:hanging="426"/>
              <w:jc w:val="both"/>
              <w:rPr>
                <w:rFonts w:ascii="Arial" w:hAnsi="Arial" w:cs="Arial" w:eastAsia="Arial"/>
                <w:b/>
                <w:color w:val="auto"/>
                <w:spacing w:val="0"/>
                <w:position w:val="0"/>
                <w:sz w:val="20"/>
                <w:shd w:fill="auto" w:val="clear"/>
              </w:rPr>
            </w:pPr>
            <w:r>
              <w:rPr>
                <w:rFonts w:ascii="Arial" w:hAnsi="Arial" w:cs="Arial" w:eastAsia="Arial"/>
                <w:color w:val="auto"/>
                <w:spacing w:val="0"/>
                <w:position w:val="0"/>
                <w:sz w:val="20"/>
                <w:shd w:fill="auto" w:val="clear"/>
              </w:rPr>
              <w:t xml:space="preserve">Two of the stated purposes of the Gambling Act 2003 are to “prevent and minimise the harm caused by gambling, including problem gambling’’ and to “facilitate responsible gambling”.</w:t>
            </w:r>
          </w:p>
          <w:p>
            <w:pPr>
              <w:numPr>
                <w:ilvl w:val="0"/>
                <w:numId w:val="63"/>
              </w:numPr>
              <w:tabs>
                <w:tab w:val="left" w:pos="720" w:leader="none"/>
                <w:tab w:val="left" w:pos="426" w:leader="none"/>
                <w:tab w:val="left" w:pos="1440" w:leader="none"/>
              </w:tabs>
              <w:spacing w:before="60" w:after="60" w:line="240"/>
              <w:ind w:right="0" w:left="426" w:hanging="426"/>
              <w:jc w:val="both"/>
              <w:rPr>
                <w:rFonts w:ascii="Arial" w:hAnsi="Arial" w:cs="Arial" w:eastAsia="Arial"/>
                <w:b/>
                <w:color w:val="auto"/>
                <w:spacing w:val="0"/>
                <w:position w:val="0"/>
                <w:sz w:val="20"/>
                <w:shd w:fill="auto" w:val="clear"/>
              </w:rPr>
            </w:pPr>
            <w:r>
              <w:rPr>
                <w:rFonts w:ascii="Arial" w:hAnsi="Arial" w:cs="Arial" w:eastAsia="Arial"/>
                <w:color w:val="auto"/>
                <w:spacing w:val="0"/>
                <w:position w:val="0"/>
                <w:sz w:val="20"/>
                <w:shd w:fill="auto" w:val="clear"/>
              </w:rPr>
              <w:t xml:space="preserve">Enforcement and monitoring of gambling venues is the responsibility of the Department of Internal Affairs (D</w:t>
            </w:r>
            <w:r>
              <w:rPr>
                <w:rFonts w:ascii="Arial" w:hAnsi="Arial" w:cs="Arial" w:eastAsia="Arial"/>
                <w:color w:val="auto"/>
                <w:spacing w:val="0"/>
                <w:position w:val="0"/>
                <w:sz w:val="20"/>
                <w:shd w:fill="D9D9D9" w:val="clear"/>
              </w:rPr>
              <w:t xml:space="preserve">I</w:t>
            </w:r>
            <w:r>
              <w:rPr>
                <w:rFonts w:ascii="Arial" w:hAnsi="Arial" w:cs="Arial" w:eastAsia="Arial"/>
                <w:color w:val="auto"/>
                <w:spacing w:val="0"/>
                <w:position w:val="0"/>
                <w:sz w:val="20"/>
                <w:shd w:fill="auto" w:val="clear"/>
              </w:rPr>
              <w:t xml:space="preserve">A) </w:t>
            </w:r>
          </w:p>
          <w:p>
            <w:pPr>
              <w:numPr>
                <w:ilvl w:val="0"/>
                <w:numId w:val="63"/>
              </w:numPr>
              <w:tabs>
                <w:tab w:val="left" w:pos="720" w:leader="none"/>
                <w:tab w:val="left" w:pos="426" w:leader="none"/>
                <w:tab w:val="left" w:pos="1440" w:leader="none"/>
              </w:tabs>
              <w:spacing w:before="60" w:after="60" w:line="240"/>
              <w:ind w:right="0" w:left="426" w:hanging="426"/>
              <w:jc w:val="both"/>
              <w:rPr>
                <w:rFonts w:ascii="Arial" w:hAnsi="Arial" w:cs="Arial" w:eastAsia="Arial"/>
                <w:b/>
                <w:color w:val="auto"/>
                <w:spacing w:val="0"/>
                <w:position w:val="0"/>
                <w:sz w:val="20"/>
                <w:shd w:fill="auto" w:val="clear"/>
              </w:rPr>
            </w:pPr>
            <w:r>
              <w:rPr>
                <w:rFonts w:ascii="Arial" w:hAnsi="Arial" w:cs="Arial" w:eastAsia="Arial"/>
                <w:color w:val="auto"/>
                <w:spacing w:val="0"/>
                <w:position w:val="0"/>
                <w:sz w:val="20"/>
                <w:shd w:fill="auto" w:val="clear"/>
              </w:rPr>
              <w:t xml:space="preserve">Regulations made under the Gambling Act 2003 set out:</w:t>
            </w:r>
          </w:p>
          <w:p>
            <w:pPr>
              <w:numPr>
                <w:ilvl w:val="0"/>
                <w:numId w:val="63"/>
              </w:numPr>
              <w:tabs>
                <w:tab w:val="left" w:pos="1287" w:leader="none"/>
                <w:tab w:val="left" w:pos="851" w:leader="none"/>
                <w:tab w:val="left" w:pos="2160" w:leader="none"/>
              </w:tabs>
              <w:spacing w:before="60" w:after="60" w:line="240"/>
              <w:ind w:right="0" w:left="851" w:hanging="425"/>
              <w:jc w:val="both"/>
              <w:rPr>
                <w:rFonts w:ascii="Arial" w:hAnsi="Arial" w:cs="Arial" w:eastAsia="Arial"/>
                <w:b/>
                <w:color w:val="auto"/>
                <w:spacing w:val="0"/>
                <w:position w:val="0"/>
                <w:sz w:val="20"/>
                <w:shd w:fill="auto" w:val="clear"/>
              </w:rPr>
            </w:pPr>
            <w:r>
              <w:rPr>
                <w:rFonts w:ascii="Arial" w:hAnsi="Arial" w:cs="Arial" w:eastAsia="Arial"/>
                <w:color w:val="auto"/>
                <w:spacing w:val="0"/>
                <w:position w:val="0"/>
                <w:sz w:val="20"/>
                <w:shd w:fill="auto" w:val="clear"/>
              </w:rPr>
              <w:t xml:space="preserve">What constitutes an unsuitable venue.</w:t>
            </w:r>
          </w:p>
          <w:p>
            <w:pPr>
              <w:numPr>
                <w:ilvl w:val="0"/>
                <w:numId w:val="63"/>
              </w:numPr>
              <w:tabs>
                <w:tab w:val="left" w:pos="1287" w:leader="none"/>
                <w:tab w:val="left" w:pos="851" w:leader="none"/>
                <w:tab w:val="left" w:pos="2160" w:leader="none"/>
              </w:tabs>
              <w:spacing w:before="60" w:after="60" w:line="240"/>
              <w:ind w:right="0" w:left="851" w:hanging="425"/>
              <w:jc w:val="both"/>
              <w:rPr>
                <w:rFonts w:ascii="Arial" w:hAnsi="Arial" w:cs="Arial" w:eastAsia="Arial"/>
                <w:b/>
                <w:color w:val="auto"/>
                <w:spacing w:val="0"/>
                <w:position w:val="0"/>
                <w:sz w:val="20"/>
                <w:shd w:fill="auto" w:val="clear"/>
              </w:rPr>
            </w:pPr>
            <w:r>
              <w:rPr>
                <w:rFonts w:ascii="Arial" w:hAnsi="Arial" w:cs="Arial" w:eastAsia="Arial"/>
                <w:color w:val="auto"/>
                <w:spacing w:val="0"/>
                <w:position w:val="0"/>
                <w:sz w:val="20"/>
                <w:shd w:fill="auto" w:val="clear"/>
              </w:rPr>
              <w:t xml:space="preserve">Requirements of venues to provide information about problem gambling.</w:t>
            </w:r>
          </w:p>
          <w:p>
            <w:pPr>
              <w:numPr>
                <w:ilvl w:val="0"/>
                <w:numId w:val="63"/>
              </w:numPr>
              <w:tabs>
                <w:tab w:val="left" w:pos="1287" w:leader="none"/>
                <w:tab w:val="left" w:pos="851" w:leader="none"/>
                <w:tab w:val="left" w:pos="2160" w:leader="none"/>
              </w:tabs>
              <w:spacing w:before="60" w:after="60" w:line="240"/>
              <w:ind w:right="0" w:left="851" w:hanging="425"/>
              <w:jc w:val="both"/>
              <w:rPr>
                <w:rFonts w:ascii="Arial" w:hAnsi="Arial" w:cs="Arial" w:eastAsia="Arial"/>
                <w:b/>
                <w:color w:val="auto"/>
                <w:spacing w:val="0"/>
                <w:position w:val="0"/>
                <w:sz w:val="20"/>
                <w:shd w:fill="auto" w:val="clear"/>
              </w:rPr>
            </w:pPr>
            <w:r>
              <w:rPr>
                <w:rFonts w:ascii="Arial" w:hAnsi="Arial" w:cs="Arial" w:eastAsia="Arial"/>
                <w:color w:val="auto"/>
                <w:spacing w:val="0"/>
                <w:position w:val="0"/>
                <w:sz w:val="20"/>
                <w:shd w:fill="auto" w:val="clear"/>
              </w:rPr>
              <w:t xml:space="preserve">Requirements of venues to provide problem gambling awareness training to staff.</w:t>
            </w:r>
          </w:p>
          <w:p>
            <w:pPr>
              <w:numPr>
                <w:ilvl w:val="0"/>
                <w:numId w:val="63"/>
              </w:numPr>
              <w:tabs>
                <w:tab w:val="left" w:pos="720" w:leader="none"/>
                <w:tab w:val="left" w:pos="426" w:leader="none"/>
                <w:tab w:val="left" w:pos="1440" w:leader="none"/>
              </w:tabs>
              <w:spacing w:before="60" w:after="60" w:line="240"/>
              <w:ind w:right="0" w:left="426" w:hanging="426"/>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 Council consent for a venue is not revocable once issued and cannot lapse or expire unless there is a period of six months or more where a TAB licence is not held for the venue.  Further, Council has no retrospective powers with regards to any consented venues and cannot impose conditions subsequently on any venue which has an existing licence. </w:t>
            </w:r>
          </w:p>
          <w:p>
            <w:pPr>
              <w:numPr>
                <w:ilvl w:val="0"/>
                <w:numId w:val="63"/>
              </w:numPr>
              <w:tabs>
                <w:tab w:val="left" w:pos="720" w:leader="none"/>
                <w:tab w:val="left" w:pos="426" w:leader="none"/>
                <w:tab w:val="left" w:pos="1440" w:leader="none"/>
              </w:tabs>
              <w:spacing w:before="60" w:after="60" w:line="240"/>
              <w:ind w:right="0" w:left="426" w:hanging="426"/>
              <w:jc w:val="both"/>
              <w:rPr>
                <w:rFonts w:ascii="Arial" w:hAnsi="Arial" w:cs="Arial" w:eastAsia="Arial"/>
                <w:b/>
                <w:color w:val="auto"/>
                <w:spacing w:val="0"/>
                <w:position w:val="0"/>
                <w:sz w:val="20"/>
                <w:shd w:fill="auto" w:val="clear"/>
              </w:rPr>
            </w:pPr>
            <w:r>
              <w:rPr>
                <w:rFonts w:ascii="Arial" w:hAnsi="Arial" w:cs="Arial" w:eastAsia="Arial"/>
                <w:color w:val="auto"/>
                <w:spacing w:val="0"/>
                <w:position w:val="0"/>
                <w:sz w:val="20"/>
                <w:shd w:fill="auto" w:val="clear"/>
              </w:rPr>
              <w:t xml:space="preserve">The Council is supportive in general of initiatives and actions that would help to ensure there is a balanced gambling environment in the city where potential harm is managed effectively, and where those who wish to gamble can do so safely.  In this regard, Council encourages responsible gambling practices as outlined in Appendix 1.</w:t>
            </w:r>
          </w:p>
          <w:p>
            <w:pPr>
              <w:numPr>
                <w:ilvl w:val="0"/>
                <w:numId w:val="63"/>
              </w:numPr>
              <w:tabs>
                <w:tab w:val="left" w:pos="720" w:leader="none"/>
                <w:tab w:val="left" w:pos="426" w:leader="none"/>
                <w:tab w:val="left" w:pos="1440" w:leader="none"/>
              </w:tabs>
              <w:spacing w:before="60" w:after="60" w:line="240"/>
              <w:ind w:right="0" w:left="426" w:hanging="426"/>
              <w:jc w:val="both"/>
              <w:rPr>
                <w:rFonts w:ascii="Arial" w:hAnsi="Arial" w:cs="Arial" w:eastAsia="Arial"/>
                <w:b/>
                <w:color w:val="auto"/>
                <w:spacing w:val="0"/>
                <w:position w:val="0"/>
                <w:sz w:val="20"/>
                <w:shd w:fill="auto" w:val="clear"/>
              </w:rPr>
            </w:pPr>
            <w:r>
              <w:rPr>
                <w:rFonts w:ascii="Arial" w:hAnsi="Arial" w:cs="Arial" w:eastAsia="Arial"/>
                <w:color w:val="auto"/>
                <w:spacing w:val="0"/>
                <w:position w:val="0"/>
                <w:sz w:val="20"/>
                <w:shd w:fill="auto" w:val="clear"/>
              </w:rPr>
              <w:t xml:space="preserve">Where Council has concerns about the operation of existing gambling venues these will be reported to DIA.  Council inspectors do not have enforcement powers over venues in terms of their gambling activities.</w:t>
            </w:r>
          </w:p>
          <w:p>
            <w:pPr>
              <w:numPr>
                <w:ilvl w:val="0"/>
                <w:numId w:val="63"/>
              </w:numPr>
              <w:tabs>
                <w:tab w:val="left" w:pos="720" w:leader="none"/>
                <w:tab w:val="left" w:pos="426" w:leader="none"/>
                <w:tab w:val="left" w:pos="1440" w:leader="none"/>
              </w:tabs>
              <w:spacing w:before="60" w:after="60" w:line="240"/>
              <w:ind w:right="0" w:left="426" w:hanging="426"/>
              <w:jc w:val="both"/>
              <w:rPr>
                <w:color w:val="auto"/>
                <w:spacing w:val="0"/>
                <w:position w:val="0"/>
              </w:rPr>
            </w:pPr>
            <w:r>
              <w:rPr>
                <w:rFonts w:ascii="Arial" w:hAnsi="Arial" w:cs="Arial" w:eastAsia="Arial"/>
                <w:color w:val="auto"/>
                <w:spacing w:val="0"/>
                <w:position w:val="0"/>
                <w:sz w:val="20"/>
                <w:shd w:fill="auto" w:val="clear"/>
              </w:rPr>
              <w:t xml:space="preserve">The provision of information by the venues about problem gambling is required under the regulations and is a key way of promoting responsible gambling.  Where Council has concerns about a venue in this regard it will be reported to DIA.</w:t>
            </w: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005767" w:val="clear"/>
            <w:tcMar>
              <w:left w:w="108" w:type="dxa"/>
              <w:right w:w="108" w:type="dxa"/>
            </w:tcMar>
            <w:vAlign w:val="top"/>
          </w:tcPr>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60" w:after="60" w:line="240"/>
              <w:ind w:right="0" w:left="0" w:firstLine="0"/>
              <w:jc w:val="left"/>
              <w:rPr>
                <w:spacing w:val="0"/>
                <w:position w:val="0"/>
                <w:shd w:fill="auto" w:val="clear"/>
              </w:rPr>
            </w:pPr>
            <w:r>
              <w:rPr>
                <w:rFonts w:ascii="Arial" w:hAnsi="Arial" w:cs="Arial" w:eastAsia="Arial"/>
                <w:b/>
                <w:color w:val="FFFFFF"/>
                <w:spacing w:val="0"/>
                <w:position w:val="0"/>
                <w:sz w:val="20"/>
                <w:shd w:fill="auto" w:val="clear"/>
              </w:rPr>
              <w:t xml:space="preserve">PROCEDURES</w:t>
            </w: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d5e8c1" w:val="clear"/>
            <w:tcMar>
              <w:left w:w="108" w:type="dxa"/>
              <w:right w:w="108" w:type="dxa"/>
            </w:tcMar>
            <w:vAlign w:val="top"/>
          </w:tcPr>
          <w:p>
            <w:pPr>
              <w:spacing w:before="60" w:after="6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f2f2f2" w:val="clear"/>
            <w:tcMar>
              <w:left w:w="108" w:type="dxa"/>
              <w:right w:w="108" w:type="dxa"/>
            </w:tcMar>
            <w:vAlign w:val="top"/>
          </w:tcPr>
          <w:p>
            <w:pPr>
              <w:tabs>
                <w:tab w:val="left" w:pos="426" w:leader="none"/>
              </w:tabs>
              <w:spacing w:before="60" w:after="60" w:line="240"/>
              <w:ind w:right="0" w:left="426" w:hanging="426"/>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w:t>
              <w:tab/>
              <w:t xml:space="preserve">All applications will incur a fee which will be prescribed by the Council pursuant to section 150 of the Local Government Act 2002.  </w:t>
            </w:r>
          </w:p>
          <w:p>
            <w:pPr>
              <w:tabs>
                <w:tab w:val="left" w:pos="426" w:leader="none"/>
              </w:tabs>
              <w:spacing w:before="60" w:after="60" w:line="240"/>
              <w:ind w:right="0" w:left="426" w:hanging="426"/>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(ii)</w:t>
              <w:tab/>
              <w:t xml:space="preserve">Council will publicly notify applications for the merger or relocation of TAB Board Venues and allow for public submissions to be lodged and heard.</w:t>
            </w:r>
          </w:p>
          <w:p>
            <w:pPr>
              <w:tabs>
                <w:tab w:val="left" w:pos="426" w:leader="none"/>
              </w:tabs>
              <w:spacing w:before="60" w:after="60" w:line="240"/>
              <w:ind w:right="0" w:left="426" w:hanging="426"/>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(iii)</w:t>
              <w:tab/>
              <w:t xml:space="preserve">Applications for consent by the Council must be made to the Council on the prescribed form and include:</w:t>
            </w:r>
          </w:p>
          <w:p>
            <w:pPr>
              <w:numPr>
                <w:ilvl w:val="0"/>
                <w:numId w:val="76"/>
              </w:numPr>
              <w:tabs>
                <w:tab w:val="left" w:pos="2007" w:leader="none"/>
                <w:tab w:val="left" w:pos="851" w:leader="none"/>
                <w:tab w:val="left" w:pos="2160" w:leader="none"/>
              </w:tabs>
              <w:spacing w:before="60" w:after="60" w:line="240"/>
              <w:ind w:right="0" w:left="851" w:hanging="425"/>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Name and contact details of the applicant.</w:t>
            </w:r>
          </w:p>
          <w:p>
            <w:pPr>
              <w:numPr>
                <w:ilvl w:val="0"/>
                <w:numId w:val="76"/>
              </w:numPr>
              <w:tabs>
                <w:tab w:val="left" w:pos="2007" w:leader="none"/>
                <w:tab w:val="left" w:pos="851" w:leader="none"/>
                <w:tab w:val="left" w:pos="2160" w:leader="none"/>
              </w:tabs>
              <w:spacing w:before="60" w:after="60" w:line="240"/>
              <w:ind w:right="0" w:left="851" w:hanging="425"/>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Names of venue management staff.</w:t>
            </w:r>
          </w:p>
          <w:p>
            <w:pPr>
              <w:numPr>
                <w:ilvl w:val="0"/>
                <w:numId w:val="76"/>
              </w:numPr>
              <w:tabs>
                <w:tab w:val="left" w:pos="2007" w:leader="none"/>
                <w:tab w:val="left" w:pos="851" w:leader="none"/>
                <w:tab w:val="left" w:pos="2160" w:leader="none"/>
              </w:tabs>
              <w:spacing w:before="60" w:after="60" w:line="240"/>
              <w:ind w:right="0" w:left="851" w:hanging="425"/>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Street address of premises being relocated and new proposed address.</w:t>
            </w:r>
          </w:p>
          <w:p>
            <w:pPr>
              <w:numPr>
                <w:ilvl w:val="0"/>
                <w:numId w:val="76"/>
              </w:numPr>
              <w:tabs>
                <w:tab w:val="left" w:pos="2007" w:leader="none"/>
                <w:tab w:val="left" w:pos="851" w:leader="none"/>
                <w:tab w:val="left" w:pos="2160" w:leader="none"/>
              </w:tabs>
              <w:spacing w:before="60" w:after="60" w:line="240"/>
              <w:ind w:right="0" w:left="851" w:hanging="425"/>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Fees.</w:t>
            </w:r>
          </w:p>
          <w:p>
            <w:pPr>
              <w:numPr>
                <w:ilvl w:val="0"/>
                <w:numId w:val="76"/>
              </w:numPr>
              <w:tabs>
                <w:tab w:val="left" w:pos="2007" w:leader="none"/>
                <w:tab w:val="left" w:pos="851" w:leader="none"/>
                <w:tab w:val="left" w:pos="2160" w:leader="none"/>
              </w:tabs>
              <w:spacing w:before="60" w:after="60" w:line="240"/>
              <w:ind w:right="0" w:left="851" w:hanging="425"/>
              <w:jc w:val="both"/>
              <w:rPr>
                <w:color w:val="auto"/>
                <w:spacing w:val="0"/>
                <w:position w:val="0"/>
                <w:shd w:fill="auto" w:val="clear"/>
              </w:rPr>
            </w:pPr>
            <w:r>
              <w:rPr>
                <w:rFonts w:ascii="Arial" w:hAnsi="Arial" w:cs="Arial" w:eastAsia="Arial"/>
                <w:color w:val="auto"/>
                <w:spacing w:val="0"/>
                <w:position w:val="0"/>
                <w:sz w:val="20"/>
                <w:shd w:fill="auto" w:val="clear"/>
              </w:rPr>
              <w:t xml:space="preserve">Any other information that may reasonably be required to allow proper consideration of the application including how the applicant will encourage responsible gambling practices.</w:t>
            </w: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005767" w:val="clear"/>
            <w:tcMar>
              <w:left w:w="108" w:type="dxa"/>
              <w:right w:w="108" w:type="dxa"/>
            </w:tcMar>
            <w:vAlign w:val="top"/>
          </w:tcPr>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60" w:after="60" w:line="240"/>
              <w:ind w:right="0" w:left="0" w:firstLine="0"/>
              <w:jc w:val="left"/>
              <w:rPr>
                <w:spacing w:val="0"/>
                <w:position w:val="0"/>
                <w:shd w:fill="auto" w:val="clear"/>
              </w:rPr>
            </w:pPr>
            <w:r>
              <w:rPr>
                <w:rFonts w:ascii="Arial" w:hAnsi="Arial" w:cs="Arial" w:eastAsia="Arial"/>
                <w:b/>
                <w:color w:val="FFFFFF"/>
                <w:spacing w:val="0"/>
                <w:position w:val="0"/>
                <w:sz w:val="20"/>
                <w:shd w:fill="auto" w:val="clear"/>
              </w:rPr>
              <w:t xml:space="preserve">REVIEW OF POLICY</w:t>
            </w: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d5e8c1" w:val="clear"/>
            <w:tcMar>
              <w:left w:w="108" w:type="dxa"/>
              <w:right w:w="108" w:type="dxa"/>
            </w:tcMar>
            <w:vAlign w:val="top"/>
          </w:tcPr>
          <w:p>
            <w:pPr>
              <w:spacing w:before="60" w:after="6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9855" w:type="dxa"/>
            <w:gridSpan w:val="2"/>
            <w:tcBorders>
              <w:top w:val="single" w:color="000000" w:sz="0"/>
              <w:left w:val="single" w:color="000000" w:sz="0"/>
              <w:bottom w:val="single" w:color="000000" w:sz="0"/>
              <w:right w:val="single" w:color="000000" w:sz="0"/>
            </w:tcBorders>
            <w:shd w:color="auto" w:fill="d9d9d9" w:val="clear"/>
            <w:tcMar>
              <w:left w:w="108" w:type="dxa"/>
              <w:right w:w="108" w:type="dxa"/>
            </w:tcMar>
            <w:vAlign w:val="top"/>
          </w:tcPr>
          <w:p>
            <w:pPr>
              <w:spacing w:before="60" w:after="60" w:line="240"/>
              <w:ind w:right="0" w:left="0" w:firstLine="0"/>
              <w:jc w:val="both"/>
              <w:rPr>
                <w:color w:val="auto"/>
                <w:spacing w:val="0"/>
                <w:position w:val="0"/>
                <w:shd w:fill="auto" w:val="clear"/>
              </w:rPr>
            </w:pPr>
            <w:r>
              <w:rPr>
                <w:rFonts w:ascii="Arial" w:hAnsi="Arial" w:cs="Arial" w:eastAsia="Arial"/>
                <w:color w:val="auto"/>
                <w:spacing w:val="0"/>
                <w:position w:val="0"/>
                <w:sz w:val="20"/>
                <w:shd w:fill="auto" w:val="clear"/>
              </w:rPr>
              <w:t xml:space="preserve">The Council will review its Gambling Venues Policy within three years from the date on which this policy comes into effect. </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3794"/>
        <w:gridCol w:w="6061"/>
      </w:tblGrid>
      <w:tr>
        <w:trPr>
          <w:trHeight w:val="1" w:hRule="atLeast"/>
          <w:jc w:val="left"/>
        </w:trPr>
        <w:tc>
          <w:tcPr>
            <w:tcW w:w="3794" w:type="dxa"/>
            <w:tcBorders>
              <w:top w:val="single" w:color="000000" w:sz="4"/>
              <w:left w:val="single" w:color="000000" w:sz="4"/>
              <w:bottom w:val="single" w:color="000000" w:sz="4"/>
              <w:right w:val="single" w:color="777777" w:sz="4"/>
            </w:tcBorders>
            <w:shd w:color="auto" w:fill="d9d9d9" w:val="clear"/>
            <w:tcMar>
              <w:left w:w="108" w:type="dxa"/>
              <w:right w:w="108" w:type="dxa"/>
            </w:tcMar>
            <w:vAlign w:val="top"/>
          </w:tcPr>
          <w:p>
            <w:pPr>
              <w:spacing w:before="60" w:after="6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Monitoring &amp; Auditing:</w:t>
            </w:r>
          </w:p>
          <w:p>
            <w:pPr>
              <w:spacing w:before="60" w:after="60" w:line="240"/>
              <w:ind w:right="0" w:left="0" w:firstLine="0"/>
              <w:jc w:val="both"/>
              <w:rPr>
                <w:color w:val="auto"/>
                <w:spacing w:val="0"/>
                <w:position w:val="0"/>
                <w:shd w:fill="auto" w:val="clear"/>
              </w:rPr>
            </w:pPr>
            <w:r>
              <w:rPr>
                <w:rFonts w:ascii="Arial" w:hAnsi="Arial" w:cs="Arial" w:eastAsia="Arial"/>
                <w:color w:val="auto"/>
                <w:spacing w:val="0"/>
                <w:position w:val="0"/>
                <w:sz w:val="20"/>
                <w:shd w:fill="auto" w:val="clear"/>
              </w:rPr>
              <w:t xml:space="preserve">This section describes who and how the application of the policy will be monitored.</w:t>
            </w:r>
          </w:p>
        </w:tc>
        <w:tc>
          <w:tcPr>
            <w:tcW w:w="6061" w:type="dxa"/>
            <w:tcBorders>
              <w:top w:val="single" w:color="000000" w:sz="4"/>
              <w:left w:val="single" w:color="777777" w:sz="4"/>
              <w:bottom w:val="single" w:color="000000" w:sz="4"/>
              <w:right w:val="single" w:color="000000" w:sz="4"/>
            </w:tcBorders>
            <w:shd w:color="auto" w:fill="d9d9d9" w:val="clear"/>
            <w:tcMar>
              <w:left w:w="108" w:type="dxa"/>
              <w:right w:w="108" w:type="dxa"/>
            </w:tcMar>
            <w:vAlign w:val="top"/>
          </w:tcPr>
          <w:p>
            <w:pPr>
              <w:spacing w:before="60" w:after="6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3794" w:type="dxa"/>
            <w:tcBorders>
              <w:top w:val="single" w:color="000000" w:sz="4"/>
              <w:left w:val="single" w:color="000000" w:sz="4"/>
              <w:bottom w:val="single" w:color="000000" w:sz="4"/>
              <w:right w:val="single" w:color="777777" w:sz="4"/>
            </w:tcBorders>
            <w:shd w:color="auto" w:fill="f3f3f3" w:val="clear"/>
            <w:tcMar>
              <w:left w:w="108" w:type="dxa"/>
              <w:right w:w="108" w:type="dxa"/>
            </w:tcMar>
            <w:vAlign w:val="top"/>
          </w:tcPr>
          <w:p>
            <w:pPr>
              <w:spacing w:before="60" w:after="60" w:line="240"/>
              <w:ind w:right="0" w:left="0" w:firstLine="0"/>
              <w:jc w:val="both"/>
              <w:rPr>
                <w:color w:val="auto"/>
                <w:spacing w:val="0"/>
                <w:position w:val="0"/>
                <w:shd w:fill="auto" w:val="clear"/>
              </w:rPr>
            </w:pPr>
            <w:r>
              <w:rPr>
                <w:rFonts w:ascii="Arial" w:hAnsi="Arial" w:cs="Arial" w:eastAsia="Arial"/>
                <w:b/>
                <w:color w:val="auto"/>
                <w:spacing w:val="0"/>
                <w:position w:val="0"/>
                <w:sz w:val="20"/>
                <w:shd w:fill="auto" w:val="clear"/>
              </w:rPr>
              <w:t xml:space="preserve">Revision History:</w:t>
            </w:r>
          </w:p>
        </w:tc>
        <w:tc>
          <w:tcPr>
            <w:tcW w:w="6061" w:type="dxa"/>
            <w:tcBorders>
              <w:top w:val="single" w:color="000000" w:sz="4"/>
              <w:left w:val="single" w:color="777777" w:sz="4"/>
              <w:bottom w:val="single" w:color="000000" w:sz="4"/>
              <w:right w:val="single" w:color="000000" w:sz="4"/>
            </w:tcBorders>
            <w:shd w:color="auto" w:fill="f3f3f3" w:val="clear"/>
            <w:tcMar>
              <w:left w:w="108" w:type="dxa"/>
              <w:right w:w="108" w:type="dxa"/>
            </w:tcMar>
            <w:vAlign w:val="top"/>
          </w:tcPr>
          <w:p>
            <w:pPr>
              <w:spacing w:before="60" w:after="60" w:line="240"/>
              <w:ind w:right="0" w:left="0" w:firstLine="0"/>
              <w:jc w:val="both"/>
              <w:rPr>
                <w:color w:val="auto"/>
                <w:spacing w:val="0"/>
                <w:position w:val="0"/>
                <w:shd w:fill="auto" w:val="clear"/>
              </w:rPr>
            </w:pPr>
            <w:r>
              <w:rPr>
                <w:rFonts w:ascii="Arial" w:hAnsi="Arial" w:cs="Arial" w:eastAsia="Arial"/>
                <w:color w:val="auto"/>
                <w:spacing w:val="0"/>
                <w:position w:val="0"/>
                <w:sz w:val="20"/>
                <w:shd w:fill="auto" w:val="clear"/>
              </w:rPr>
              <w:t xml:space="preserve">September 2007, December 2011, May 2015</w:t>
            </w:r>
          </w:p>
        </w:tc>
      </w:tr>
      <w:tr>
        <w:trPr>
          <w:trHeight w:val="1" w:hRule="atLeast"/>
          <w:jc w:val="left"/>
        </w:trPr>
        <w:tc>
          <w:tcPr>
            <w:tcW w:w="3794" w:type="dxa"/>
            <w:tcBorders>
              <w:top w:val="single" w:color="000000" w:sz="4"/>
              <w:left w:val="single" w:color="000000" w:sz="4"/>
              <w:bottom w:val="single" w:color="000000" w:sz="4"/>
              <w:right w:val="single" w:color="777777" w:sz="4"/>
            </w:tcBorders>
            <w:shd w:color="auto" w:fill="d9d9d9" w:val="clear"/>
            <w:tcMar>
              <w:left w:w="108" w:type="dxa"/>
              <w:right w:w="108" w:type="dxa"/>
            </w:tcMar>
            <w:vAlign w:val="top"/>
          </w:tcPr>
          <w:p>
            <w:pPr>
              <w:spacing w:before="60" w:after="60" w:line="240"/>
              <w:ind w:right="0" w:left="0" w:firstLine="0"/>
              <w:jc w:val="both"/>
              <w:rPr>
                <w:color w:val="auto"/>
                <w:spacing w:val="0"/>
                <w:position w:val="0"/>
                <w:shd w:fill="auto" w:val="clear"/>
              </w:rPr>
            </w:pPr>
            <w:r>
              <w:rPr>
                <w:rFonts w:ascii="Arial" w:hAnsi="Arial" w:cs="Arial" w:eastAsia="Arial"/>
                <w:b/>
                <w:color w:val="auto"/>
                <w:spacing w:val="0"/>
                <w:position w:val="0"/>
                <w:sz w:val="20"/>
                <w:shd w:fill="auto" w:val="clear"/>
              </w:rPr>
              <w:t xml:space="preserve">Effective Date:</w:t>
            </w:r>
          </w:p>
        </w:tc>
        <w:tc>
          <w:tcPr>
            <w:tcW w:w="6061" w:type="dxa"/>
            <w:tcBorders>
              <w:top w:val="single" w:color="000000" w:sz="4"/>
              <w:left w:val="single" w:color="777777" w:sz="4"/>
              <w:bottom w:val="single" w:color="000000" w:sz="4"/>
              <w:right w:val="single" w:color="000000" w:sz="4"/>
            </w:tcBorders>
            <w:shd w:color="auto" w:fill="d9d9d9" w:val="clear"/>
            <w:tcMar>
              <w:left w:w="108" w:type="dxa"/>
              <w:right w:w="108" w:type="dxa"/>
            </w:tcMar>
            <w:vAlign w:val="top"/>
          </w:tcPr>
          <w:p>
            <w:pPr>
              <w:spacing w:before="60" w:after="6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3794" w:type="dxa"/>
            <w:tcBorders>
              <w:top w:val="single" w:color="000000" w:sz="4"/>
              <w:left w:val="single" w:color="000000" w:sz="4"/>
              <w:bottom w:val="single" w:color="000000" w:sz="4"/>
              <w:right w:val="single" w:color="777777" w:sz="4"/>
            </w:tcBorders>
            <w:shd w:color="auto" w:fill="f3f3f3" w:val="clear"/>
            <w:tcMar>
              <w:left w:w="108" w:type="dxa"/>
              <w:right w:w="108" w:type="dxa"/>
            </w:tcMar>
            <w:vAlign w:val="top"/>
          </w:tcPr>
          <w:p>
            <w:pPr>
              <w:spacing w:before="60" w:after="60" w:line="240"/>
              <w:ind w:right="0" w:left="0" w:firstLine="0"/>
              <w:jc w:val="both"/>
              <w:rPr>
                <w:color w:val="auto"/>
                <w:spacing w:val="0"/>
                <w:position w:val="0"/>
                <w:shd w:fill="auto" w:val="clear"/>
              </w:rPr>
            </w:pPr>
            <w:r>
              <w:rPr>
                <w:rFonts w:ascii="Arial" w:hAnsi="Arial" w:cs="Arial" w:eastAsia="Arial"/>
                <w:b/>
                <w:color w:val="auto"/>
                <w:spacing w:val="0"/>
                <w:position w:val="0"/>
                <w:sz w:val="20"/>
                <w:shd w:fill="auto" w:val="clear"/>
              </w:rPr>
              <w:t xml:space="preserve">Review Period:</w:t>
            </w:r>
          </w:p>
        </w:tc>
        <w:tc>
          <w:tcPr>
            <w:tcW w:w="6061" w:type="dxa"/>
            <w:tcBorders>
              <w:top w:val="single" w:color="000000" w:sz="4"/>
              <w:left w:val="single" w:color="777777" w:sz="4"/>
              <w:bottom w:val="single" w:color="000000" w:sz="4"/>
              <w:right w:val="single" w:color="000000" w:sz="4"/>
            </w:tcBorders>
            <w:shd w:color="auto" w:fill="f3f3f3" w:val="clear"/>
            <w:tcMar>
              <w:left w:w="108" w:type="dxa"/>
              <w:right w:w="108" w:type="dxa"/>
            </w:tcMar>
            <w:vAlign w:val="top"/>
          </w:tcPr>
          <w:p>
            <w:pPr>
              <w:spacing w:before="60" w:after="60" w:line="240"/>
              <w:ind w:right="0" w:left="0" w:firstLine="0"/>
              <w:jc w:val="both"/>
              <w:rPr>
                <w:color w:val="auto"/>
                <w:spacing w:val="0"/>
                <w:position w:val="0"/>
                <w:shd w:fill="auto" w:val="clear"/>
              </w:rPr>
            </w:pPr>
            <w:r>
              <w:rPr>
                <w:rFonts w:ascii="Arial" w:hAnsi="Arial" w:cs="Arial" w:eastAsia="Arial"/>
                <w:i/>
                <w:color w:val="auto"/>
                <w:spacing w:val="0"/>
                <w:position w:val="0"/>
                <w:sz w:val="20"/>
                <w:shd w:fill="auto" w:val="clear"/>
              </w:rPr>
              <w:t xml:space="preserve">Every 3 years</w:t>
            </w:r>
          </w:p>
        </w:tc>
      </w:tr>
      <w:tr>
        <w:trPr>
          <w:trHeight w:val="1" w:hRule="atLeast"/>
          <w:jc w:val="left"/>
        </w:trPr>
        <w:tc>
          <w:tcPr>
            <w:tcW w:w="3794" w:type="dxa"/>
            <w:tcBorders>
              <w:top w:val="single" w:color="000000" w:sz="4"/>
              <w:left w:val="single" w:color="000000" w:sz="4"/>
              <w:bottom w:val="single" w:color="000000" w:sz="4"/>
              <w:right w:val="single" w:color="777777" w:sz="4"/>
            </w:tcBorders>
            <w:shd w:color="auto" w:fill="d9d9d9" w:val="clear"/>
            <w:tcMar>
              <w:left w:w="108" w:type="dxa"/>
              <w:right w:w="108" w:type="dxa"/>
            </w:tcMar>
            <w:vAlign w:val="top"/>
          </w:tcPr>
          <w:p>
            <w:pPr>
              <w:spacing w:before="60" w:after="60" w:line="240"/>
              <w:ind w:right="0" w:left="0" w:firstLine="0"/>
              <w:jc w:val="both"/>
              <w:rPr>
                <w:color w:val="auto"/>
                <w:spacing w:val="0"/>
                <w:position w:val="0"/>
                <w:shd w:fill="auto" w:val="clear"/>
              </w:rPr>
            </w:pPr>
            <w:r>
              <w:rPr>
                <w:rFonts w:ascii="Arial" w:hAnsi="Arial" w:cs="Arial" w:eastAsia="Arial"/>
                <w:b/>
                <w:color w:val="auto"/>
                <w:spacing w:val="0"/>
                <w:position w:val="0"/>
                <w:sz w:val="20"/>
                <w:shd w:fill="auto" w:val="clear"/>
              </w:rPr>
              <w:t xml:space="preserve">Associated Documents / References:</w:t>
            </w:r>
          </w:p>
        </w:tc>
        <w:tc>
          <w:tcPr>
            <w:tcW w:w="6061" w:type="dxa"/>
            <w:tcBorders>
              <w:top w:val="single" w:color="000000" w:sz="4"/>
              <w:left w:val="single" w:color="777777" w:sz="4"/>
              <w:bottom w:val="single" w:color="000000" w:sz="4"/>
              <w:right w:val="single" w:color="000000" w:sz="4"/>
            </w:tcBorders>
            <w:shd w:color="auto" w:fill="d9d9d9" w:val="clear"/>
            <w:tcMar>
              <w:left w:w="108" w:type="dxa"/>
              <w:right w:w="108" w:type="dxa"/>
            </w:tcMar>
            <w:vAlign w:val="top"/>
          </w:tcPr>
          <w:p>
            <w:pPr>
              <w:spacing w:before="60" w:after="60" w:line="240"/>
              <w:ind w:right="0" w:left="0" w:firstLine="0"/>
              <w:jc w:val="both"/>
              <w:rPr>
                <w:color w:val="auto"/>
                <w:spacing w:val="0"/>
                <w:position w:val="0"/>
                <w:shd w:fill="auto" w:val="clear"/>
              </w:rPr>
            </w:pPr>
            <w:r>
              <w:rPr>
                <w:rFonts w:ascii="Arial" w:hAnsi="Arial" w:cs="Arial" w:eastAsia="Arial"/>
                <w:i/>
                <w:color w:val="auto"/>
                <w:spacing w:val="0"/>
                <w:position w:val="0"/>
                <w:sz w:val="20"/>
                <w:shd w:fill="auto" w:val="clear"/>
              </w:rPr>
              <w:t xml:space="preserve">Class 4 Gambling Venues Policy</w:t>
            </w:r>
          </w:p>
        </w:tc>
      </w:tr>
    </w:tbl>
    <w:p>
      <w:pPr>
        <w:spacing w:before="0" w:after="0" w:line="240"/>
        <w:ind w:right="0" w:left="0" w:firstLine="0"/>
        <w:jc w:val="left"/>
        <w:rPr>
          <w:rFonts w:ascii="Arial" w:hAnsi="Arial" w:cs="Arial" w:eastAsia="Arial"/>
          <w:b/>
          <w:color w:val="auto"/>
          <w:spacing w:val="0"/>
          <w:position w:val="0"/>
          <w:sz w:val="22"/>
          <w:shd w:fill="AAC6CC" w:val="clear"/>
        </w:rPr>
      </w:pPr>
      <w:r>
        <w:rPr>
          <w:rFonts w:ascii="Arial" w:hAnsi="Arial" w:cs="Arial" w:eastAsia="Arial"/>
          <w:b/>
          <w:color w:val="auto"/>
          <w:spacing w:val="0"/>
          <w:position w:val="0"/>
          <w:sz w:val="22"/>
          <w:shd w:fill="AAC6CC" w:val="clear"/>
        </w:rPr>
        <w:t xml:space="preserve">ENCOURAGE RESPONSIBLE GAMBLING PRACTICES </w:t>
      </w:r>
    </w:p>
    <w:p>
      <w:pPr>
        <w:spacing w:before="0" w:after="0" w:line="240"/>
        <w:ind w:right="0" w:left="0" w:firstLine="0"/>
        <w:jc w:val="left"/>
        <w:rPr>
          <w:rFonts w:ascii="Arial" w:hAnsi="Arial" w:cs="Arial" w:eastAsia="Arial"/>
          <w:b/>
          <w:color w:val="auto"/>
          <w:spacing w:val="0"/>
          <w:position w:val="0"/>
          <w:sz w:val="22"/>
          <w:shd w:fill="auto" w:val="clear"/>
        </w:rPr>
      </w:pPr>
    </w:p>
    <w:tbl>
      <w:tblPr/>
      <w:tblGrid>
        <w:gridCol w:w="3168"/>
        <w:gridCol w:w="6579"/>
      </w:tblGrid>
      <w:tr>
        <w:trPr>
          <w:trHeight w:val="454" w:hRule="auto"/>
          <w:jc w:val="left"/>
        </w:trPr>
        <w:tc>
          <w:tcPr>
            <w:tcW w:w="3168" w:type="dxa"/>
            <w:tcBorders>
              <w:top w:val="single" w:color="000000" w:sz="0"/>
              <w:left w:val="single" w:color="000000" w:sz="0"/>
              <w:bottom w:val="single" w:color="000000" w:sz="0"/>
              <w:right w:val="single" w:color="000000" w:sz="0"/>
            </w:tcBorders>
            <w:shd w:color="auto" w:fill="000000" w:val="clear"/>
            <w:tcMar>
              <w:left w:w="108" w:type="dxa"/>
              <w:right w:w="108" w:type="dxa"/>
            </w:tcMar>
            <w:vAlign w:val="center"/>
          </w:tcPr>
          <w:p>
            <w:pPr>
              <w:spacing w:before="60" w:after="60" w:line="240"/>
              <w:ind w:right="0" w:left="0" w:firstLine="0"/>
              <w:jc w:val="left"/>
              <w:rPr>
                <w:color w:val="auto"/>
                <w:spacing w:val="0"/>
                <w:position w:val="0"/>
                <w:shd w:fill="auto" w:val="clear"/>
              </w:rPr>
            </w:pPr>
            <w:r>
              <w:rPr>
                <w:rFonts w:ascii="Arial" w:hAnsi="Arial" w:cs="Arial" w:eastAsia="Arial"/>
                <w:b/>
                <w:color w:val="auto"/>
                <w:spacing w:val="0"/>
                <w:position w:val="0"/>
                <w:sz w:val="20"/>
                <w:shd w:fill="auto" w:val="clear"/>
              </w:rPr>
              <w:t xml:space="preserve">BEST PRACTICE </w:t>
            </w:r>
          </w:p>
        </w:tc>
        <w:tc>
          <w:tcPr>
            <w:tcW w:w="6579" w:type="dxa"/>
            <w:tcBorders>
              <w:top w:val="single" w:color="000000" w:sz="0"/>
              <w:left w:val="single" w:color="000000" w:sz="0"/>
              <w:bottom w:val="single" w:color="000000" w:sz="0"/>
              <w:right w:val="single" w:color="000000" w:sz="0"/>
            </w:tcBorders>
            <w:shd w:color="auto" w:fill="000000" w:val="clear"/>
            <w:tcMar>
              <w:left w:w="108" w:type="dxa"/>
              <w:right w:w="108" w:type="dxa"/>
            </w:tcMar>
            <w:vAlign w:val="center"/>
          </w:tcPr>
          <w:p>
            <w:pPr>
              <w:spacing w:before="60" w:after="60" w:line="240"/>
              <w:ind w:right="0" w:left="0" w:firstLine="0"/>
              <w:jc w:val="both"/>
              <w:rPr>
                <w:color w:val="auto"/>
                <w:spacing w:val="0"/>
                <w:position w:val="0"/>
                <w:shd w:fill="auto" w:val="clear"/>
              </w:rPr>
            </w:pPr>
            <w:r>
              <w:rPr>
                <w:rFonts w:ascii="Arial" w:hAnsi="Arial" w:cs="Arial" w:eastAsia="Arial"/>
                <w:b/>
                <w:color w:val="auto"/>
                <w:spacing w:val="0"/>
                <w:position w:val="0"/>
                <w:sz w:val="20"/>
                <w:shd w:fill="auto" w:val="clear"/>
              </w:rPr>
              <w:t xml:space="preserve">SUPPORTING ACTION </w:t>
            </w:r>
          </w:p>
        </w:tc>
      </w:tr>
      <w:tr>
        <w:trPr>
          <w:trHeight w:val="1" w:hRule="atLeast"/>
          <w:jc w:val="left"/>
        </w:trPr>
        <w:tc>
          <w:tcPr>
            <w:tcW w:w="3168" w:type="dxa"/>
            <w:tcBorders>
              <w:top w:val="single" w:color="000000" w:sz="0"/>
              <w:left w:val="single" w:color="000000" w:sz="0"/>
              <w:bottom w:val="single" w:color="000000" w:sz="0"/>
              <w:right w:val="single" w:color="000000" w:sz="0"/>
            </w:tcBorders>
            <w:shd w:color="auto" w:fill="f2f2f2" w:val="clear"/>
            <w:tcMar>
              <w:left w:w="108" w:type="dxa"/>
              <w:right w:w="108" w:type="dxa"/>
            </w:tcMar>
            <w:vAlign w:val="top"/>
          </w:tcPr>
          <w:p>
            <w:pPr>
              <w:spacing w:before="60" w:after="6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Host Responsibility and Harm Minimisation policy </w:t>
            </w:r>
          </w:p>
        </w:tc>
        <w:tc>
          <w:tcPr>
            <w:tcW w:w="6579" w:type="dxa"/>
            <w:tcBorders>
              <w:top w:val="single" w:color="000000" w:sz="0"/>
              <w:left w:val="single" w:color="000000" w:sz="0"/>
              <w:bottom w:val="single" w:color="000000" w:sz="0"/>
              <w:right w:val="single" w:color="000000" w:sz="0"/>
            </w:tcBorders>
            <w:shd w:color="auto" w:fill="f2f2f2" w:val="clear"/>
            <w:tcMar>
              <w:left w:w="108" w:type="dxa"/>
              <w:right w:w="108" w:type="dxa"/>
            </w:tcMar>
            <w:vAlign w:val="center"/>
          </w:tcPr>
          <w:p>
            <w:pPr>
              <w:spacing w:before="60" w:after="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applicant has in place a host responsibility and harm minimisation policy.</w:t>
            </w:r>
          </w:p>
          <w:p>
            <w:pPr>
              <w:spacing w:before="60" w:after="60" w:line="240"/>
              <w:ind w:right="0" w:left="0" w:firstLine="0"/>
              <w:jc w:val="both"/>
              <w:rPr>
                <w:color w:val="auto"/>
                <w:spacing w:val="0"/>
                <w:position w:val="0"/>
                <w:shd w:fill="auto" w:val="clear"/>
              </w:rPr>
            </w:pPr>
            <w:r>
              <w:rPr>
                <w:rFonts w:ascii="Arial" w:hAnsi="Arial" w:cs="Arial" w:eastAsia="Arial"/>
                <w:color w:val="auto"/>
                <w:spacing w:val="0"/>
                <w:position w:val="0"/>
                <w:sz w:val="20"/>
                <w:shd w:fill="auto" w:val="clear"/>
              </w:rPr>
              <w:t xml:space="preserve">The programme conforms to best practice as set out by national guidelines or standards should these become available.</w:t>
            </w:r>
          </w:p>
        </w:tc>
      </w:tr>
      <w:tr>
        <w:trPr>
          <w:trHeight w:val="1" w:hRule="atLeast"/>
          <w:jc w:val="left"/>
        </w:trPr>
        <w:tc>
          <w:tcPr>
            <w:tcW w:w="3168" w:type="dxa"/>
            <w:tcBorders>
              <w:top w:val="single" w:color="000000" w:sz="0"/>
              <w:left w:val="single" w:color="000000" w:sz="0"/>
              <w:bottom w:val="single" w:color="000000" w:sz="0"/>
              <w:right w:val="single" w:color="000000" w:sz="0"/>
            </w:tcBorders>
            <w:shd w:color="auto" w:fill="d9d9d9" w:val="clear"/>
            <w:tcMar>
              <w:left w:w="108" w:type="dxa"/>
              <w:right w:w="108" w:type="dxa"/>
            </w:tcMar>
            <w:vAlign w:val="top"/>
          </w:tcPr>
          <w:p>
            <w:pPr>
              <w:spacing w:before="60" w:after="6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Staff training programme or activities </w:t>
            </w:r>
          </w:p>
        </w:tc>
        <w:tc>
          <w:tcPr>
            <w:tcW w:w="6579" w:type="dxa"/>
            <w:tcBorders>
              <w:top w:val="single" w:color="000000" w:sz="0"/>
              <w:left w:val="single" w:color="000000" w:sz="0"/>
              <w:bottom w:val="single" w:color="000000" w:sz="0"/>
              <w:right w:val="single" w:color="000000" w:sz="0"/>
            </w:tcBorders>
            <w:shd w:color="auto" w:fill="d9d9d9" w:val="clear"/>
            <w:tcMar>
              <w:left w:w="108" w:type="dxa"/>
              <w:right w:w="108" w:type="dxa"/>
            </w:tcMar>
            <w:vAlign w:val="center"/>
          </w:tcPr>
          <w:p>
            <w:pPr>
              <w:spacing w:before="60" w:after="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applicant demonstrates that staff and management are familiar with its Host Responsibility and Harm Minimisation policy.  </w:t>
            </w:r>
          </w:p>
          <w:p>
            <w:pPr>
              <w:spacing w:before="60" w:after="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programme provides information on:</w:t>
            </w:r>
          </w:p>
          <w:p>
            <w:pPr>
              <w:numPr>
                <w:ilvl w:val="0"/>
                <w:numId w:val="116"/>
              </w:numPr>
              <w:tabs>
                <w:tab w:val="left" w:pos="360" w:leader="none"/>
              </w:tabs>
              <w:spacing w:before="60" w:after="60" w:line="240"/>
              <w:ind w:right="0" w:left="36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potential effects of gambling on customers.</w:t>
            </w:r>
          </w:p>
          <w:p>
            <w:pPr>
              <w:numPr>
                <w:ilvl w:val="0"/>
                <w:numId w:val="116"/>
              </w:numPr>
              <w:tabs>
                <w:tab w:val="left" w:pos="360" w:leader="none"/>
              </w:tabs>
              <w:spacing w:before="60" w:after="60" w:line="240"/>
              <w:ind w:right="0" w:left="36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identification of problem gambling traits.</w:t>
            </w:r>
          </w:p>
          <w:p>
            <w:pPr>
              <w:numPr>
                <w:ilvl w:val="0"/>
                <w:numId w:val="116"/>
              </w:numPr>
              <w:tabs>
                <w:tab w:val="left" w:pos="360" w:leader="none"/>
              </w:tabs>
              <w:spacing w:before="60" w:after="60" w:line="240"/>
              <w:ind w:right="0" w:left="36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processes for approach, intervention and follow up for patrons with suspected problem gambling.</w:t>
            </w:r>
          </w:p>
          <w:p>
            <w:pPr>
              <w:numPr>
                <w:ilvl w:val="0"/>
                <w:numId w:val="116"/>
              </w:numPr>
              <w:tabs>
                <w:tab w:val="left" w:pos="360" w:leader="none"/>
              </w:tabs>
              <w:spacing w:before="60" w:after="60" w:line="240"/>
              <w:ind w:right="0" w:left="36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Identification practices for patrons appearing under 25 and actions to be followed.</w:t>
            </w:r>
          </w:p>
          <w:p>
            <w:pPr>
              <w:numPr>
                <w:ilvl w:val="0"/>
                <w:numId w:val="116"/>
              </w:numPr>
              <w:tabs>
                <w:tab w:val="left" w:pos="360" w:leader="none"/>
              </w:tabs>
              <w:spacing w:before="60" w:after="60" w:line="240"/>
              <w:ind w:right="0" w:left="36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Systems in place to support self barring.</w:t>
            </w:r>
          </w:p>
          <w:p>
            <w:pPr>
              <w:numPr>
                <w:ilvl w:val="0"/>
                <w:numId w:val="116"/>
              </w:numPr>
              <w:tabs>
                <w:tab w:val="left" w:pos="360" w:leader="none"/>
              </w:tabs>
              <w:spacing w:before="60" w:after="60" w:line="240"/>
              <w:ind w:right="0" w:left="36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Recognition of intoxicated patrons and steps to be followed to prevent intoxicated patrons from gambling.</w:t>
            </w:r>
          </w:p>
          <w:p>
            <w:pPr>
              <w:numPr>
                <w:ilvl w:val="0"/>
                <w:numId w:val="116"/>
              </w:numPr>
              <w:tabs>
                <w:tab w:val="left" w:pos="360" w:leader="none"/>
              </w:tabs>
              <w:spacing w:before="60" w:after="60" w:line="240"/>
              <w:ind w:right="0" w:left="360" w:hanging="360"/>
              <w:jc w:val="both"/>
              <w:rPr>
                <w:color w:val="auto"/>
                <w:spacing w:val="0"/>
                <w:position w:val="0"/>
                <w:shd w:fill="auto" w:val="clear"/>
              </w:rPr>
            </w:pPr>
            <w:r>
              <w:rPr>
                <w:rFonts w:ascii="Arial" w:hAnsi="Arial" w:cs="Arial" w:eastAsia="Arial"/>
                <w:color w:val="auto"/>
                <w:spacing w:val="0"/>
                <w:position w:val="0"/>
                <w:sz w:val="20"/>
                <w:shd w:fill="auto" w:val="clear"/>
              </w:rPr>
              <w:t xml:space="preserve">Systems to be followed if children are left unattended in premises or nearby premises.</w:t>
            </w:r>
          </w:p>
        </w:tc>
      </w:tr>
      <w:tr>
        <w:trPr>
          <w:trHeight w:val="1" w:hRule="atLeast"/>
          <w:jc w:val="left"/>
        </w:trPr>
        <w:tc>
          <w:tcPr>
            <w:tcW w:w="316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60" w:after="6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Policy on under age access to TAB Venues</w:t>
            </w:r>
          </w:p>
        </w:tc>
        <w:tc>
          <w:tcPr>
            <w:tcW w:w="657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60" w:after="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licensee must ensure that appropriate signage is in place indicating age restrictions so that this is visible. At the point(s) of entry into the gambling area. </w:t>
            </w:r>
          </w:p>
          <w:p>
            <w:pPr>
              <w:spacing w:before="60" w:after="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Policy on identification checks for patrons appearing under 25.</w:t>
            </w:r>
          </w:p>
          <w:p>
            <w:pPr>
              <w:spacing w:before="60" w:after="60" w:line="240"/>
              <w:ind w:right="0" w:left="0" w:firstLine="0"/>
              <w:jc w:val="both"/>
              <w:rPr>
                <w:color w:val="auto"/>
                <w:spacing w:val="0"/>
                <w:position w:val="0"/>
                <w:shd w:fill="auto" w:val="clear"/>
              </w:rPr>
            </w:pPr>
            <w:r>
              <w:rPr>
                <w:rFonts w:ascii="Arial" w:hAnsi="Arial" w:cs="Arial" w:eastAsia="Arial"/>
                <w:color w:val="auto"/>
                <w:spacing w:val="0"/>
                <w:position w:val="0"/>
                <w:sz w:val="20"/>
                <w:shd w:fill="auto" w:val="clear"/>
              </w:rPr>
              <w:t xml:space="preserve">Staff training on identification of patrons appearing under 25 and actions to be followed.</w:t>
            </w:r>
          </w:p>
        </w:tc>
      </w:tr>
      <w:tr>
        <w:trPr>
          <w:trHeight w:val="1" w:hRule="atLeast"/>
          <w:jc w:val="left"/>
        </w:trPr>
        <w:tc>
          <w:tcPr>
            <w:tcW w:w="3168" w:type="dxa"/>
            <w:tcBorders>
              <w:top w:val="single" w:color="000000" w:sz="0"/>
              <w:left w:val="single" w:color="000000" w:sz="0"/>
              <w:bottom w:val="single" w:color="000000" w:sz="0"/>
              <w:right w:val="single" w:color="000000" w:sz="0"/>
            </w:tcBorders>
            <w:shd w:color="auto" w:fill="d9d9d9" w:val="clear"/>
            <w:tcMar>
              <w:left w:w="108" w:type="dxa"/>
              <w:right w:w="108" w:type="dxa"/>
            </w:tcMar>
            <w:vAlign w:val="top"/>
          </w:tcPr>
          <w:p>
            <w:pPr>
              <w:spacing w:before="60" w:after="6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Provision of problem gambling information </w:t>
            </w:r>
          </w:p>
        </w:tc>
        <w:tc>
          <w:tcPr>
            <w:tcW w:w="6579" w:type="dxa"/>
            <w:tcBorders>
              <w:top w:val="single" w:color="000000" w:sz="0"/>
              <w:left w:val="single" w:color="000000" w:sz="0"/>
              <w:bottom w:val="single" w:color="000000" w:sz="0"/>
              <w:right w:val="single" w:color="000000" w:sz="0"/>
            </w:tcBorders>
            <w:shd w:color="auto" w:fill="d9d9d9" w:val="clear"/>
            <w:tcMar>
              <w:left w:w="108" w:type="dxa"/>
              <w:right w:w="108" w:type="dxa"/>
            </w:tcMar>
            <w:vAlign w:val="center"/>
          </w:tcPr>
          <w:p>
            <w:pPr>
              <w:spacing w:before="60" w:after="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licensee must ensure that patrons have access to appropriate information on problem gambling and problem gambling help services and the gambling help line phone number information. </w:t>
            </w:r>
          </w:p>
          <w:p>
            <w:pPr>
              <w:spacing w:before="60" w:after="60" w:line="240"/>
              <w:ind w:right="0" w:left="0" w:firstLine="0"/>
              <w:jc w:val="both"/>
              <w:rPr>
                <w:color w:val="auto"/>
                <w:spacing w:val="0"/>
                <w:position w:val="0"/>
                <w:shd w:fill="auto" w:val="clear"/>
              </w:rPr>
            </w:pPr>
            <w:r>
              <w:rPr>
                <w:rFonts w:ascii="Arial" w:hAnsi="Arial" w:cs="Arial" w:eastAsia="Arial"/>
                <w:color w:val="auto"/>
                <w:spacing w:val="0"/>
                <w:position w:val="0"/>
                <w:sz w:val="20"/>
                <w:shd w:fill="auto" w:val="clear"/>
              </w:rPr>
              <w:t xml:space="preserve">Additional material on problem gambling and help services displayed in at least one other area within the premises.</w:t>
            </w:r>
          </w:p>
        </w:tc>
      </w:tr>
      <w:tr>
        <w:trPr>
          <w:trHeight w:val="1" w:hRule="atLeast"/>
          <w:jc w:val="left"/>
        </w:trPr>
        <w:tc>
          <w:tcPr>
            <w:tcW w:w="316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60" w:after="6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Clocks are visible in premises</w:t>
            </w:r>
          </w:p>
        </w:tc>
        <w:tc>
          <w:tcPr>
            <w:tcW w:w="657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60" w:after="60" w:line="240"/>
              <w:ind w:right="0" w:left="0" w:firstLine="0"/>
              <w:jc w:val="both"/>
              <w:rPr>
                <w:color w:val="auto"/>
                <w:spacing w:val="0"/>
                <w:position w:val="0"/>
                <w:shd w:fill="auto" w:val="clear"/>
              </w:rPr>
            </w:pPr>
            <w:r>
              <w:rPr>
                <w:rFonts w:ascii="Arial" w:hAnsi="Arial" w:cs="Arial" w:eastAsia="Arial"/>
                <w:color w:val="auto"/>
                <w:spacing w:val="0"/>
                <w:position w:val="0"/>
                <w:sz w:val="20"/>
                <w:shd w:fill="auto" w:val="clear"/>
              </w:rPr>
              <w:t xml:space="preserve">The licensee ensures that clocks are visible from gambling machines and are displayed on a wall large enough to be seen from a distance.</w:t>
            </w:r>
          </w:p>
        </w:tc>
      </w:tr>
      <w:tr>
        <w:trPr>
          <w:trHeight w:val="1" w:hRule="atLeast"/>
          <w:jc w:val="left"/>
        </w:trPr>
        <w:tc>
          <w:tcPr>
            <w:tcW w:w="3168" w:type="dxa"/>
            <w:tcBorders>
              <w:top w:val="single" w:color="000000" w:sz="0"/>
              <w:left w:val="single" w:color="000000" w:sz="0"/>
              <w:bottom w:val="single" w:color="000000" w:sz="0"/>
              <w:right w:val="single" w:color="000000" w:sz="0"/>
            </w:tcBorders>
            <w:shd w:color="auto" w:fill="d9d9d9" w:val="clear"/>
            <w:tcMar>
              <w:left w:w="108" w:type="dxa"/>
              <w:right w:w="108" w:type="dxa"/>
            </w:tcMar>
            <w:vAlign w:val="top"/>
          </w:tcPr>
          <w:p>
            <w:pPr>
              <w:spacing w:before="60" w:after="6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Self barring of patrons is supported</w:t>
            </w:r>
          </w:p>
        </w:tc>
        <w:tc>
          <w:tcPr>
            <w:tcW w:w="6579" w:type="dxa"/>
            <w:tcBorders>
              <w:top w:val="single" w:color="000000" w:sz="0"/>
              <w:left w:val="single" w:color="000000" w:sz="0"/>
              <w:bottom w:val="single" w:color="000000" w:sz="0"/>
              <w:right w:val="single" w:color="000000" w:sz="0"/>
            </w:tcBorders>
            <w:shd w:color="auto" w:fill="d9d9d9" w:val="clear"/>
            <w:tcMar>
              <w:left w:w="108" w:type="dxa"/>
              <w:right w:w="108" w:type="dxa"/>
            </w:tcMar>
            <w:vAlign w:val="center"/>
          </w:tcPr>
          <w:p>
            <w:pPr>
              <w:spacing w:before="60" w:after="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licensee ensures that systems to support self barring and exclusion by patrons are put in place.</w:t>
            </w:r>
          </w:p>
          <w:p>
            <w:pPr>
              <w:spacing w:before="60" w:after="60" w:line="240"/>
              <w:ind w:right="0" w:left="0" w:firstLine="0"/>
              <w:jc w:val="both"/>
              <w:rPr>
                <w:color w:val="auto"/>
                <w:spacing w:val="0"/>
                <w:position w:val="0"/>
                <w:shd w:fill="auto" w:val="clear"/>
              </w:rPr>
            </w:pPr>
            <w:r>
              <w:rPr>
                <w:rFonts w:ascii="Arial" w:hAnsi="Arial" w:cs="Arial" w:eastAsia="Arial"/>
                <w:color w:val="auto"/>
                <w:spacing w:val="0"/>
                <w:position w:val="0"/>
                <w:sz w:val="20"/>
                <w:shd w:fill="auto" w:val="clear"/>
              </w:rPr>
              <w:t xml:space="preserve">There is staff training on systems to support self barring or exclusion of patrons.</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8"/>
        <w:gridCol w:w="6579"/>
      </w:tblGrid>
      <w:tr>
        <w:trPr>
          <w:trHeight w:val="454" w:hRule="auto"/>
          <w:jc w:val="left"/>
        </w:trPr>
        <w:tc>
          <w:tcPr>
            <w:tcW w:w="3168" w:type="dxa"/>
            <w:tcBorders>
              <w:top w:val="single" w:color="000000" w:sz="0"/>
              <w:left w:val="single" w:color="000000" w:sz="0"/>
              <w:bottom w:val="single" w:color="000000" w:sz="0"/>
              <w:right w:val="single" w:color="000000" w:sz="0"/>
            </w:tcBorders>
            <w:shd w:color="auto" w:fill="000000" w:val="clear"/>
            <w:tcMar>
              <w:left w:w="108" w:type="dxa"/>
              <w:right w:w="108" w:type="dxa"/>
            </w:tcMar>
            <w:vAlign w:val="center"/>
          </w:tcPr>
          <w:p>
            <w:pPr>
              <w:spacing w:before="60" w:after="60" w:line="240"/>
              <w:ind w:right="0" w:left="0" w:firstLine="0"/>
              <w:jc w:val="both"/>
              <w:rPr>
                <w:color w:val="auto"/>
                <w:spacing w:val="0"/>
                <w:position w:val="0"/>
                <w:shd w:fill="auto" w:val="clear"/>
              </w:rPr>
            </w:pPr>
            <w:r>
              <w:rPr>
                <w:rFonts w:ascii="Arial" w:hAnsi="Arial" w:cs="Arial" w:eastAsia="Arial"/>
                <w:b/>
                <w:color w:val="auto"/>
                <w:spacing w:val="0"/>
                <w:position w:val="0"/>
                <w:sz w:val="20"/>
                <w:shd w:fill="auto" w:val="clear"/>
              </w:rPr>
              <w:t xml:space="preserve">BEST PRACTICE </w:t>
            </w:r>
          </w:p>
        </w:tc>
        <w:tc>
          <w:tcPr>
            <w:tcW w:w="6579" w:type="dxa"/>
            <w:tcBorders>
              <w:top w:val="single" w:color="000000" w:sz="0"/>
              <w:left w:val="single" w:color="000000" w:sz="0"/>
              <w:bottom w:val="single" w:color="000000" w:sz="0"/>
              <w:right w:val="single" w:color="000000" w:sz="0"/>
            </w:tcBorders>
            <w:shd w:color="auto" w:fill="000000" w:val="clear"/>
            <w:tcMar>
              <w:left w:w="108" w:type="dxa"/>
              <w:right w:w="108" w:type="dxa"/>
            </w:tcMar>
            <w:vAlign w:val="center"/>
          </w:tcPr>
          <w:p>
            <w:pPr>
              <w:spacing w:before="60" w:after="60" w:line="240"/>
              <w:ind w:right="0" w:left="0" w:firstLine="0"/>
              <w:jc w:val="both"/>
              <w:rPr>
                <w:color w:val="auto"/>
                <w:spacing w:val="0"/>
                <w:position w:val="0"/>
                <w:shd w:fill="auto" w:val="clear"/>
              </w:rPr>
            </w:pPr>
            <w:r>
              <w:rPr>
                <w:rFonts w:ascii="Arial" w:hAnsi="Arial" w:cs="Arial" w:eastAsia="Arial"/>
                <w:b/>
                <w:color w:val="auto"/>
                <w:spacing w:val="0"/>
                <w:position w:val="0"/>
                <w:sz w:val="20"/>
                <w:shd w:fill="auto" w:val="clear"/>
              </w:rPr>
              <w:t xml:space="preserve">SUPPORTING ACTION </w:t>
            </w:r>
          </w:p>
        </w:tc>
      </w:tr>
      <w:tr>
        <w:trPr>
          <w:trHeight w:val="1" w:hRule="atLeast"/>
          <w:jc w:val="left"/>
        </w:trPr>
        <w:tc>
          <w:tcPr>
            <w:tcW w:w="3168" w:type="dxa"/>
            <w:tcBorders>
              <w:top w:val="single" w:color="000000" w:sz="0"/>
              <w:left w:val="single" w:color="000000" w:sz="0"/>
              <w:bottom w:val="single" w:color="000000" w:sz="0"/>
              <w:right w:val="single" w:color="000000" w:sz="0"/>
            </w:tcBorders>
            <w:shd w:color="auto" w:fill="f2f2f2" w:val="clear"/>
            <w:tcMar>
              <w:left w:w="108" w:type="dxa"/>
              <w:right w:w="108" w:type="dxa"/>
            </w:tcMar>
            <w:vAlign w:val="top"/>
          </w:tcPr>
          <w:p>
            <w:pPr>
              <w:spacing w:before="60" w:after="6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Children are not left unattended while gambling is undertaken</w:t>
            </w:r>
          </w:p>
        </w:tc>
        <w:tc>
          <w:tcPr>
            <w:tcW w:w="6579" w:type="dxa"/>
            <w:tcBorders>
              <w:top w:val="single" w:color="000000" w:sz="0"/>
              <w:left w:val="single" w:color="000000" w:sz="0"/>
              <w:bottom w:val="single" w:color="000000" w:sz="0"/>
              <w:right w:val="single" w:color="000000" w:sz="0"/>
            </w:tcBorders>
            <w:shd w:color="auto" w:fill="f2f2f2" w:val="clear"/>
            <w:tcMar>
              <w:left w:w="108" w:type="dxa"/>
              <w:right w:w="108" w:type="dxa"/>
            </w:tcMar>
            <w:vAlign w:val="center"/>
          </w:tcPr>
          <w:p>
            <w:pPr>
              <w:spacing w:before="60" w:after="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licensee will take active steps to prevent parents leaving their children unattended without adult supervision including:</w:t>
            </w:r>
          </w:p>
          <w:p>
            <w:pPr>
              <w:numPr>
                <w:ilvl w:val="0"/>
                <w:numId w:val="141"/>
              </w:numPr>
              <w:tabs>
                <w:tab w:val="left" w:pos="360" w:leader="none"/>
              </w:tabs>
              <w:spacing w:before="60" w:after="60" w:line="240"/>
              <w:ind w:right="0" w:left="36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Requiring employees to report incidents where a child had been left unattended, either inside the premises or immediately outside the premises, and</w:t>
            </w:r>
          </w:p>
          <w:p>
            <w:pPr>
              <w:numPr>
                <w:ilvl w:val="0"/>
                <w:numId w:val="141"/>
              </w:numPr>
              <w:tabs>
                <w:tab w:val="left" w:pos="360" w:leader="none"/>
              </w:tabs>
              <w:spacing w:before="60" w:after="60" w:line="240"/>
              <w:ind w:right="0" w:left="360" w:hanging="360"/>
              <w:jc w:val="both"/>
              <w:rPr>
                <w:color w:val="auto"/>
                <w:spacing w:val="0"/>
                <w:position w:val="0"/>
                <w:shd w:fill="auto" w:val="clear"/>
              </w:rPr>
            </w:pPr>
            <w:r>
              <w:rPr>
                <w:rFonts w:ascii="Arial" w:hAnsi="Arial" w:cs="Arial" w:eastAsia="Arial"/>
                <w:color w:val="auto"/>
                <w:spacing w:val="0"/>
                <w:position w:val="0"/>
                <w:sz w:val="20"/>
                <w:shd w:fill="auto" w:val="clear"/>
              </w:rPr>
              <w:t xml:space="preserve">Where the child has been left unattended, the licensee will take steps to locate an adult responsible for the child.  If this attempt is unsuccessful, the licensee will contact the police.</w:t>
            </w:r>
          </w:p>
        </w:tc>
      </w:tr>
      <w:tr>
        <w:trPr>
          <w:trHeight w:val="1" w:hRule="atLeast"/>
          <w:jc w:val="left"/>
        </w:trPr>
        <w:tc>
          <w:tcPr>
            <w:tcW w:w="3168" w:type="dxa"/>
            <w:tcBorders>
              <w:top w:val="single" w:color="000000" w:sz="0"/>
              <w:left w:val="single" w:color="000000" w:sz="0"/>
              <w:bottom w:val="single" w:color="000000" w:sz="0"/>
              <w:right w:val="single" w:color="000000" w:sz="0"/>
            </w:tcBorders>
            <w:shd w:color="auto" w:fill="d9d9d9" w:val="clear"/>
            <w:tcMar>
              <w:left w:w="108" w:type="dxa"/>
              <w:right w:w="108" w:type="dxa"/>
            </w:tcMar>
            <w:vAlign w:val="top"/>
          </w:tcPr>
          <w:p>
            <w:pPr>
              <w:spacing w:before="60" w:after="6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Intoxicated patrons are prevented from gambling</w:t>
            </w:r>
          </w:p>
        </w:tc>
        <w:tc>
          <w:tcPr>
            <w:tcW w:w="6579" w:type="dxa"/>
            <w:tcBorders>
              <w:top w:val="single" w:color="000000" w:sz="0"/>
              <w:left w:val="single" w:color="000000" w:sz="0"/>
              <w:bottom w:val="single" w:color="000000" w:sz="0"/>
              <w:right w:val="single" w:color="000000" w:sz="0"/>
            </w:tcBorders>
            <w:shd w:color="auto" w:fill="d9d9d9" w:val="clear"/>
            <w:tcMar>
              <w:left w:w="108" w:type="dxa"/>
              <w:right w:w="108" w:type="dxa"/>
            </w:tcMar>
            <w:vAlign w:val="center"/>
          </w:tcPr>
          <w:p>
            <w:pPr>
              <w:spacing w:before="60" w:after="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Staff training on identification of intoxicated patrons and actions to be followed if intoxicated patrons attempt to gamble.</w:t>
            </w:r>
          </w:p>
          <w:p>
            <w:pPr>
              <w:spacing w:before="60" w:after="60" w:line="240"/>
              <w:ind w:right="0" w:left="0" w:firstLine="0"/>
              <w:jc w:val="both"/>
              <w:rPr>
                <w:color w:val="auto"/>
                <w:spacing w:val="0"/>
                <w:position w:val="0"/>
                <w:shd w:fill="auto" w:val="clear"/>
              </w:rPr>
            </w:pPr>
            <w:r>
              <w:rPr>
                <w:rFonts w:ascii="Arial" w:hAnsi="Arial" w:cs="Arial" w:eastAsia="Arial"/>
                <w:color w:val="auto"/>
                <w:spacing w:val="0"/>
                <w:position w:val="0"/>
                <w:sz w:val="20"/>
                <w:shd w:fill="auto" w:val="clear"/>
              </w:rPr>
              <w:t xml:space="preserve">The licensee will take all practicable steps to ensure that no person who appears intoxicated is allowed to gamble.</w:t>
            </w:r>
          </w:p>
        </w:tc>
      </w:tr>
    </w:tbl>
    <w:p>
      <w:pPr>
        <w:spacing w:before="0" w:after="0" w:line="240"/>
        <w:ind w:right="0" w:left="0" w:firstLine="0"/>
        <w:jc w:val="left"/>
        <w:rPr>
          <w:rFonts w:ascii="Arial" w:hAnsi="Arial" w:cs="Arial" w:eastAsia="Arial"/>
          <w:b/>
          <w:color w:val="FFFFFF"/>
          <w:spacing w:val="0"/>
          <w:position w:val="0"/>
          <w:sz w:val="22"/>
          <w:shd w:fill="558F99" w:val="clear"/>
        </w:rPr>
      </w:pPr>
      <w:r>
        <w:rPr>
          <w:rFonts w:ascii="Arial" w:hAnsi="Arial" w:cs="Arial" w:eastAsia="Arial"/>
          <w:b/>
          <w:color w:val="FFFFFF"/>
          <w:spacing w:val="0"/>
          <w:position w:val="0"/>
          <w:sz w:val="22"/>
          <w:shd w:fill="558F99" w:val="clear"/>
        </w:rPr>
        <w:t xml:space="preserve">APPENDIX 2</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9170" w:dyaOrig="13392">
          <v:rect xmlns:o="urn:schemas-microsoft-com:office:office" xmlns:v="urn:schemas-microsoft-com:vml" id="rectole0000000001" style="width:458.500000pt;height:669.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num w:numId="26">
    <w:abstractNumId w:val="24"/>
  </w:num>
  <w:num w:numId="63">
    <w:abstractNumId w:val="18"/>
  </w:num>
  <w:num w:numId="76">
    <w:abstractNumId w:val="12"/>
  </w:num>
  <w:num w:numId="116">
    <w:abstractNumId w:val="6"/>
  </w:num>
  <w:num w:numId="141">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styles.xml" Id="docRId5"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numbering.xml" Id="docRId4" Type="http://schemas.openxmlformats.org/officeDocument/2006/relationships/numbering"/></Relationships>
</file>