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0" w:leader="none"/>
        </w:tabs>
        <w:spacing w:before="0" w:after="0" w:line="240"/>
        <w:ind w:right="0" w:left="0" w:firstLine="0"/>
        <w:jc w:val="center"/>
        <w:rPr>
          <w:rFonts w:ascii="Arial" w:hAnsi="Arial" w:cs="Arial" w:eastAsia="Arial"/>
          <w:b/>
          <w:color w:val="auto"/>
          <w:spacing w:val="0"/>
          <w:position w:val="0"/>
          <w:sz w:val="40"/>
          <w:shd w:fill="auto" w:val="clear"/>
        </w:rPr>
      </w:pPr>
      <w:r>
        <w:object w:dxaOrig="3456" w:dyaOrig="2885">
          <v:rect xmlns:o="urn:schemas-microsoft-com:office:office" xmlns:v="urn:schemas-microsoft-com:vml" id="rectole0000000000" style="width:172.800000pt;height:144.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0" w:leader="none"/>
        </w:tabs>
        <w:spacing w:before="0" w:after="0" w:line="240"/>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REPRESENTATION REVIEW 2015</w:t>
      </w:r>
    </w:p>
    <w:p>
      <w:pPr>
        <w:tabs>
          <w:tab w:val="left" w:pos="0" w:leader="none"/>
        </w:tabs>
        <w:spacing w:before="0" w:after="0" w:line="240"/>
        <w:ind w:right="0" w:left="0" w:firstLine="0"/>
        <w:jc w:val="center"/>
        <w:rPr>
          <w:rFonts w:ascii="Arial" w:hAnsi="Arial" w:cs="Arial" w:eastAsia="Arial"/>
          <w:b/>
          <w:color w:val="auto"/>
          <w:spacing w:val="0"/>
          <w:position w:val="0"/>
          <w:sz w:val="20"/>
          <w:shd w:fill="auto" w:val="clear"/>
        </w:rPr>
      </w:pPr>
    </w:p>
    <w:p>
      <w:pPr>
        <w:tabs>
          <w:tab w:val="left" w:pos="0"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INITIAL PROPOSAL </w:t>
      </w:r>
    </w:p>
    <w:p>
      <w:pPr>
        <w:tabs>
          <w:tab w:val="left" w:pos="1197" w:leader="none"/>
        </w:tabs>
        <w:spacing w:before="0" w:after="0" w:line="240"/>
        <w:ind w:right="0" w:left="1197" w:firstLine="0"/>
        <w:jc w:val="both"/>
        <w:rPr>
          <w:rFonts w:ascii="Arial" w:hAnsi="Arial" w:cs="Arial" w:eastAsia="Arial"/>
          <w:b/>
          <w:color w:val="auto"/>
          <w:spacing w:val="0"/>
          <w:position w:val="0"/>
          <w:sz w:val="20"/>
          <w:shd w:fill="auto" w:val="clear"/>
        </w:rPr>
      </w:pPr>
    </w:p>
    <w:p>
      <w:pPr>
        <w:spacing w:before="0" w:after="0" w:line="27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Representation Review being undertaken by the Council allows people to have a say in how City Councillors are elected, how many Councillors there are in total and whether there should be community boards in any areas.</w:t>
      </w:r>
    </w:p>
    <w:p>
      <w:pPr>
        <w:spacing w:before="0" w:after="0" w:line="270"/>
        <w:ind w:right="0" w:left="0" w:firstLine="0"/>
        <w:jc w:val="both"/>
        <w:rPr>
          <w:rFonts w:ascii="Arial" w:hAnsi="Arial" w:cs="Arial" w:eastAsia="Arial"/>
          <w:color w:val="000000"/>
          <w:spacing w:val="0"/>
          <w:position w:val="0"/>
          <w:sz w:val="20"/>
          <w:shd w:fill="auto" w:val="clear"/>
        </w:rPr>
      </w:pPr>
    </w:p>
    <w:p>
      <w:pPr>
        <w:spacing w:before="0" w:after="0" w:line="27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On Tuesday, 4 August, after considering the report of the Independent Advisory Panel, the Council made the following resolutions under the Local Electoral Act 2001 with respect to effective representation (the "Initial Proposal"): </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numPr>
          <w:ilvl w:val="0"/>
          <w:numId w:val="5"/>
        </w:numPr>
        <w:tabs>
          <w:tab w:val="left" w:pos="360" w:leader="none"/>
          <w:tab w:val="left" w:pos="540" w:leader="none"/>
          <w:tab w:val="left" w:pos="1197" w:leader="none"/>
        </w:tabs>
        <w:spacing w:before="0" w:after="0" w:line="240"/>
        <w:ind w:right="0" w:left="540" w:hanging="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elect its Mayor and Councillors at large (no Wards).  This means that voters can vote for all Councillors.  No change from the 2010 election format.</w:t>
      </w:r>
    </w:p>
    <w:p>
      <w:pPr>
        <w:numPr>
          <w:ilvl w:val="0"/>
          <w:numId w:val="5"/>
        </w:numPr>
        <w:tabs>
          <w:tab w:val="left" w:pos="360" w:leader="none"/>
          <w:tab w:val="left" w:pos="540" w:leader="none"/>
          <w:tab w:val="left" w:pos="1197" w:leader="none"/>
        </w:tabs>
        <w:spacing w:before="0" w:after="0" w:line="240"/>
        <w:ind w:right="0" w:left="540" w:hanging="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12 Councillors to be elected.  No change from the 2010 election format.</w:t>
      </w:r>
    </w:p>
    <w:p>
      <w:pPr>
        <w:numPr>
          <w:ilvl w:val="0"/>
          <w:numId w:val="5"/>
        </w:numPr>
        <w:tabs>
          <w:tab w:val="left" w:pos="360" w:leader="none"/>
          <w:tab w:val="left" w:pos="540" w:leader="none"/>
          <w:tab w:val="left" w:pos="1197" w:leader="none"/>
        </w:tabs>
        <w:spacing w:before="0" w:after="0" w:line="240"/>
        <w:ind w:right="0" w:left="540" w:hanging="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retain the Bluff Community Board (5 elected Board members and one appointed Council representative, with no change to Board boundaries </w:t>
      </w:r>
      <w:r>
        <w:rPr>
          <w:rFonts w:ascii="Arial" w:hAnsi="Arial" w:cs="Arial" w:eastAsia="Arial"/>
          <w:i/>
          <w:color w:val="auto"/>
          <w:spacing w:val="0"/>
          <w:position w:val="0"/>
          <w:sz w:val="20"/>
          <w:shd w:fill="auto" w:val="clear"/>
        </w:rPr>
        <w:t xml:space="preserve">(see attached map for Board boundaries)</w:t>
      </w:r>
      <w:r>
        <w:rPr>
          <w:rFonts w:ascii="Arial" w:hAnsi="Arial" w:cs="Arial" w:eastAsia="Arial"/>
          <w:color w:val="auto"/>
          <w:spacing w:val="0"/>
          <w:position w:val="0"/>
          <w:sz w:val="20"/>
          <w:shd w:fill="auto" w:val="clear"/>
        </w:rPr>
        <w:t xml:space="preserve">).  No change from the 2010 election format.</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i/>
          <w:color w:val="auto"/>
          <w:spacing w:val="0"/>
          <w:position w:val="0"/>
          <w:sz w:val="20"/>
          <w:shd w:fill="auto" w:val="clear"/>
        </w:rPr>
      </w:pPr>
      <w:r>
        <w:rPr>
          <w:rFonts w:ascii="Arial" w:hAnsi="Arial" w:cs="Arial" w:eastAsia="Arial"/>
          <w:color w:val="auto"/>
          <w:spacing w:val="0"/>
          <w:position w:val="0"/>
          <w:sz w:val="20"/>
          <w:shd w:fill="auto" w:val="clear"/>
        </w:rPr>
        <w:t xml:space="preserve">In coming to the above three decisions Council considered geographical communities of interest within the Invercargill district.  Council decided that Bluff was the only community of interest in terms of the Local Electoral Act.</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Alongside the representation arrangements, the Council also resolved to develop an engagement strategy that allows for more effective consultation and engagement using some of the tools utilised in this review to improve effective representation amongst community groups and to work with the Maori Community to develop an engagement strategy that allows for effective consultation and engagement with the Maori to ensure fair and effective representation for Maori.</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Submissions are invited on the Initial Proposal.</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center" w:pos="4153" w:leader="none"/>
          <w:tab w:val="right" w:pos="8306" w:leader="none"/>
        </w:tabs>
        <w:spacing w:before="0" w:after="6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Council’s “Initial Proposal” is open for submissions until </w:t>
      </w:r>
      <w:r>
        <w:rPr>
          <w:rFonts w:ascii="Arial" w:hAnsi="Arial" w:cs="Arial" w:eastAsia="Arial"/>
          <w:b/>
          <w:color w:val="auto"/>
          <w:spacing w:val="0"/>
          <w:position w:val="0"/>
          <w:sz w:val="20"/>
          <w:shd w:fill="auto" w:val="clear"/>
        </w:rPr>
        <w:t xml:space="preserve">5.00 pm on Tuesday 8 September 2015.  </w:t>
      </w:r>
      <w:r>
        <w:rPr>
          <w:rFonts w:ascii="Arial" w:hAnsi="Arial" w:cs="Arial" w:eastAsia="Arial"/>
          <w:color w:val="auto"/>
          <w:spacing w:val="0"/>
          <w:position w:val="0"/>
          <w:sz w:val="20"/>
          <w:shd w:fill="auto" w:val="clear"/>
        </w:rPr>
        <w:t xml:space="preserve">Submissions must:</w:t>
      </w:r>
    </w:p>
    <w:p>
      <w:pPr>
        <w:tabs>
          <w:tab w:val="center" w:pos="4153" w:leader="none"/>
          <w:tab w:val="right" w:pos="8306" w:leader="none"/>
        </w:tabs>
        <w:spacing w:before="0" w:after="60" w:line="240"/>
        <w:ind w:right="0" w:left="0" w:firstLine="0"/>
        <w:jc w:val="both"/>
        <w:rPr>
          <w:rFonts w:ascii="Arial" w:hAnsi="Arial" w:cs="Arial" w:eastAsia="Arial"/>
          <w:color w:val="auto"/>
          <w:spacing w:val="0"/>
          <w:position w:val="0"/>
          <w:sz w:val="20"/>
          <w:shd w:fill="auto" w:val="clear"/>
        </w:rPr>
      </w:pPr>
    </w:p>
    <w:p>
      <w:pPr>
        <w:numPr>
          <w:ilvl w:val="0"/>
          <w:numId w:val="10"/>
        </w:numPr>
        <w:tabs>
          <w:tab w:val="center" w:pos="4153" w:leader="none"/>
          <w:tab w:val="right" w:pos="8306" w:leader="none"/>
        </w:tabs>
        <w:spacing w:before="0" w:after="6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Clearly show the submitters name, address and contact phone number.</w:t>
      </w:r>
    </w:p>
    <w:p>
      <w:pPr>
        <w:numPr>
          <w:ilvl w:val="0"/>
          <w:numId w:val="10"/>
        </w:numPr>
        <w:tabs>
          <w:tab w:val="center" w:pos="4153" w:leader="none"/>
          <w:tab w:val="right" w:pos="8306" w:leader="none"/>
        </w:tabs>
        <w:spacing w:before="0" w:after="6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 addressed to Melissa Short – Manager, Strategy and Policy, and clearly labelled SUBMISSION – REPRESENTATION REVIEW.</w:t>
      </w:r>
    </w:p>
    <w:p>
      <w:pPr>
        <w:numPr>
          <w:ilvl w:val="0"/>
          <w:numId w:val="10"/>
        </w:numPr>
        <w:tabs>
          <w:tab w:val="center" w:pos="4153" w:leader="none"/>
          <w:tab w:val="right" w:pos="8306" w:leader="none"/>
        </w:tabs>
        <w:spacing w:before="0" w:after="6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Indicate whether the submitter wishes to be heard by Council in support of his / her submission.</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Submissions can be:</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Delivered to</w:t>
      </w:r>
      <w:r>
        <w:rPr>
          <w:rFonts w:ascii="Arial" w:hAnsi="Arial" w:cs="Arial" w:eastAsia="Arial"/>
          <w:color w:val="auto"/>
          <w:spacing w:val="0"/>
          <w:position w:val="0"/>
          <w:sz w:val="20"/>
          <w:shd w:fill="auto" w:val="clear"/>
        </w:rPr>
        <w:t xml:space="preserve">: </w:t>
        <w:tab/>
        <w:tab/>
        <w:t xml:space="preserve">Civic Administration Building</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101 Esk Street Invercargill</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Posted to:</w:t>
        <w:tab/>
        <w:tab/>
        <w:tab/>
      </w:r>
      <w:r>
        <w:rPr>
          <w:rFonts w:ascii="Arial" w:hAnsi="Arial" w:cs="Arial" w:eastAsia="Arial"/>
          <w:color w:val="auto"/>
          <w:spacing w:val="0"/>
          <w:position w:val="0"/>
          <w:sz w:val="20"/>
          <w:shd w:fill="auto" w:val="clear"/>
        </w:rPr>
        <w:t xml:space="preserve">Submission – Representation Review</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Invercargill City Council</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Private Bag 90104</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Invercargill 9840</w:t>
      </w: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p>
    <w:p>
      <w:pPr>
        <w:tabs>
          <w:tab w:val="left" w:pos="1197"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Emailed to:</w:t>
        <w:tab/>
        <w:tab/>
        <w:tab/>
      </w:r>
      <w:r>
        <w:rPr>
          <w:rFonts w:ascii="Arial" w:hAnsi="Arial" w:cs="Arial" w:eastAsia="Arial"/>
          <w:color w:val="auto"/>
          <w:spacing w:val="0"/>
          <w:position w:val="0"/>
          <w:sz w:val="20"/>
          <w:shd w:fill="auto" w:val="clear"/>
        </w:rPr>
        <w:t xml:space="preserve">policy@icc.govt.nz</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